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7"/>
        <w:ind w:right="-286"/>
        <w:jc w:val="left"/>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表一</w:t>
      </w:r>
    </w:p>
    <w:tbl>
      <w:tblPr>
        <w:tblStyle w:val="1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75"/>
        <w:gridCol w:w="1779"/>
        <w:gridCol w:w="2083"/>
        <w:gridCol w:w="1004"/>
        <w:gridCol w:w="728"/>
        <w:gridCol w:w="1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建设项目名称</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建设单位名称</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重庆信合启越科技有限公司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建设项目性质</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lang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建设地点</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重庆高新区重庆金凤电子信息产业有限公司二期标准厂房10号楼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主要产品名称</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lang w:val="en-US"/>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X射线管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设计生产能力</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highlight w:val="none"/>
                <w:lang w:val="en-US"/>
                <w14:textFill>
                  <w14:solidFill>
                    <w14:schemeClr w14:val="tx1"/>
                  </w14:solidFill>
                </w14:textFill>
              </w:rPr>
            </w:pP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4万支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实际生产能力</w:t>
            </w:r>
          </w:p>
        </w:tc>
        <w:tc>
          <w:tcPr>
            <w:tcW w:w="3876" w:type="pct"/>
            <w:gridSpan w:val="5"/>
            <w:vAlign w:val="center"/>
          </w:tcPr>
          <w:p>
            <w:pPr>
              <w:spacing w:after="0" w:line="360" w:lineRule="atLeast"/>
              <w:jc w:val="center"/>
              <w:rPr>
                <w:rFonts w:hint="default" w:ascii="Times New Roman" w:hAnsi="Times New Roman" w:eastAsia="宋体" w:cs="Times New Roman"/>
                <w:color w:val="000000" w:themeColor="text1"/>
                <w:sz w:val="26"/>
                <w:szCs w:val="2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4万支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pacing w:val="-8"/>
                <w:sz w:val="26"/>
                <w:szCs w:val="26"/>
                <w14:textFill>
                  <w14:solidFill>
                    <w14:schemeClr w14:val="tx1"/>
                  </w14:solidFill>
                </w14:textFill>
              </w:rPr>
            </w:pPr>
            <w:r>
              <w:rPr>
                <w:rFonts w:hint="default" w:ascii="Times New Roman" w:hAnsi="Times New Roman" w:eastAsia="宋体" w:cs="Times New Roman"/>
                <w:color w:val="000000" w:themeColor="text1"/>
                <w:spacing w:val="-8"/>
                <w:sz w:val="26"/>
                <w:szCs w:val="26"/>
                <w14:textFill>
                  <w14:solidFill>
                    <w14:schemeClr w14:val="tx1"/>
                  </w14:solidFill>
                </w14:textFill>
              </w:rPr>
              <w:t>建设项目环评时间</w:t>
            </w:r>
          </w:p>
        </w:tc>
        <w:tc>
          <w:tcPr>
            <w:tcW w:w="1044" w:type="pct"/>
            <w:vAlign w:val="center"/>
          </w:tcPr>
          <w:p>
            <w:pPr>
              <w:spacing w:after="0" w:line="360" w:lineRule="atLeast"/>
              <w:jc w:val="both"/>
              <w:rPr>
                <w:rFonts w:hint="default" w:ascii="Times New Roman" w:hAnsi="Times New Roman" w:eastAsia="宋体" w:cs="Times New Roman"/>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21</w:t>
            </w:r>
            <w:r>
              <w:rPr>
                <w:rFonts w:hint="default" w:ascii="Times New Roman" w:hAnsi="Times New Roman" w:eastAsia="宋体" w:cs="Times New Roman"/>
                <w:color w:val="000000" w:themeColor="text1"/>
                <w:sz w:val="26"/>
                <w:szCs w:val="26"/>
                <w14:textFill>
                  <w14:solidFill>
                    <w14:schemeClr w14:val="tx1"/>
                  </w14:solidFill>
                </w14:textFill>
              </w:rPr>
              <w:t>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8</w:t>
            </w:r>
            <w:r>
              <w:rPr>
                <w:rFonts w:hint="default" w:ascii="Times New Roman" w:hAnsi="Times New Roman" w:eastAsia="宋体" w:cs="Times New Roman"/>
                <w:color w:val="000000" w:themeColor="text1"/>
                <w:sz w:val="26"/>
                <w:szCs w:val="26"/>
                <w14:textFill>
                  <w14:solidFill>
                    <w14:schemeClr w14:val="tx1"/>
                  </w14:solidFill>
                </w14:textFill>
              </w:rPr>
              <w:t>月</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19</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日</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开工建设时间</w:t>
            </w:r>
          </w:p>
        </w:tc>
        <w:tc>
          <w:tcPr>
            <w:tcW w:w="1609" w:type="pct"/>
            <w:gridSpan w:val="3"/>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21</w:t>
            </w:r>
            <w:r>
              <w:rPr>
                <w:rFonts w:hint="default" w:ascii="Times New Roman" w:hAnsi="Times New Roman" w:eastAsia="宋体" w:cs="Times New Roman"/>
                <w:color w:val="000000" w:themeColor="text1"/>
                <w:sz w:val="26"/>
                <w:szCs w:val="26"/>
                <w14:textFill>
                  <w14:solidFill>
                    <w14:schemeClr w14:val="tx1"/>
                  </w14:solidFill>
                </w14:textFill>
              </w:rPr>
              <w:t>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10</w:t>
            </w:r>
            <w:r>
              <w:rPr>
                <w:rFonts w:hint="default" w:ascii="Times New Roman" w:hAnsi="Times New Roman" w:eastAsia="宋体" w:cs="Times New Roman"/>
                <w:color w:val="000000" w:themeColor="text1"/>
                <w:sz w:val="26"/>
                <w:szCs w:val="26"/>
                <w14:textFill>
                  <w14:solidFill>
                    <w14:schemeClr w14:val="tx1"/>
                  </w14:solidFill>
                </w14:textFill>
              </w:rPr>
              <w:t>月</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8</w:t>
            </w:r>
            <w:r>
              <w:rPr>
                <w:rFonts w:hint="default" w:ascii="Times New Roman" w:hAnsi="Times New Roman" w:eastAsia="宋体" w:cs="Times New Roman"/>
                <w:color w:val="000000" w:themeColor="text1"/>
                <w:sz w:val="26"/>
                <w:szCs w:val="26"/>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调试时间</w:t>
            </w:r>
          </w:p>
        </w:tc>
        <w:tc>
          <w:tcPr>
            <w:tcW w:w="1044"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2022年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11</w:t>
            </w:r>
            <w:r>
              <w:rPr>
                <w:rFonts w:hint="default" w:ascii="Times New Roman" w:hAnsi="Times New Roman" w:eastAsia="宋体" w:cs="Times New Roman"/>
                <w:color w:val="000000" w:themeColor="text1"/>
                <w:sz w:val="26"/>
                <w:szCs w:val="26"/>
                <w14:textFill>
                  <w14:solidFill>
                    <w14:schemeClr w14:val="tx1"/>
                  </w14:solidFill>
                </w14:textFill>
              </w:rPr>
              <w:t>月</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验收现场监测时间</w:t>
            </w:r>
          </w:p>
        </w:tc>
        <w:tc>
          <w:tcPr>
            <w:tcW w:w="1609" w:type="pct"/>
            <w:gridSpan w:val="3"/>
            <w:vAlign w:val="center"/>
          </w:tcPr>
          <w:p>
            <w:pPr>
              <w:spacing w:after="0" w:line="360" w:lineRule="atLeast"/>
              <w:jc w:val="both"/>
              <w:rPr>
                <w:rFonts w:hint="default" w:ascii="Times New Roman" w:hAnsi="Times New Roman" w:eastAsia="宋体" w:cs="Times New Roman"/>
                <w:color w:val="000000" w:themeColor="text1"/>
                <w:sz w:val="26"/>
                <w:szCs w:val="2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6"/>
                <w:szCs w:val="26"/>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6"/>
                <w:szCs w:val="26"/>
                <w:highlight w:val="none"/>
                <w:lang w:eastAsia="zh-CN"/>
                <w14:textFill>
                  <w14:solidFill>
                    <w14:schemeClr w14:val="tx1"/>
                  </w14:solidFill>
                </w14:textFill>
              </w:rPr>
              <w:t>月1日~2日、</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2023年8月17~18日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环评报告表</w:t>
            </w:r>
          </w:p>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审批部门</w:t>
            </w:r>
          </w:p>
        </w:tc>
        <w:tc>
          <w:tcPr>
            <w:tcW w:w="1044"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重庆</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高新</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区</w:t>
            </w:r>
            <w:r>
              <w:rPr>
                <w:rFonts w:hint="default" w:ascii="Times New Roman" w:hAnsi="Times New Roman" w:eastAsia="宋体" w:cs="Times New Roman"/>
                <w:color w:val="000000" w:themeColor="text1"/>
                <w:sz w:val="26"/>
                <w:szCs w:val="26"/>
                <w:lang w:eastAsia="zh-CN"/>
                <w14:textFill>
                  <w14:solidFill>
                    <w14:schemeClr w14:val="tx1"/>
                  </w14:solidFill>
                </w14:textFill>
              </w:rPr>
              <w:t>生态环境</w:t>
            </w:r>
            <w:r>
              <w:rPr>
                <w:rFonts w:hint="default" w:ascii="Times New Roman" w:hAnsi="Times New Roman" w:eastAsia="宋体" w:cs="Times New Roman"/>
                <w:color w:val="000000" w:themeColor="text1"/>
                <w:sz w:val="26"/>
                <w:szCs w:val="26"/>
                <w14:textFill>
                  <w14:solidFill>
                    <w14:schemeClr w14:val="tx1"/>
                  </w14:solidFill>
                </w14:textFill>
              </w:rPr>
              <w:t>局</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环评报告表编制单位</w:t>
            </w:r>
          </w:p>
        </w:tc>
        <w:tc>
          <w:tcPr>
            <w:tcW w:w="1609" w:type="pct"/>
            <w:gridSpan w:val="3"/>
            <w:vAlign w:val="center"/>
          </w:tcPr>
          <w:p>
            <w:pPr>
              <w:spacing w:after="0" w:line="360" w:lineRule="atLeast"/>
              <w:jc w:val="both"/>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lang w:eastAsia="zh-CN"/>
                <w14:textFill>
                  <w14:solidFill>
                    <w14:schemeClr w14:val="tx1"/>
                  </w14:solidFill>
                </w14:textFill>
              </w:rPr>
              <w:t>重庆</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一可环保工程</w:t>
            </w:r>
            <w:r>
              <w:rPr>
                <w:rFonts w:hint="default" w:ascii="Times New Roman" w:hAnsi="Times New Roman" w:eastAsia="宋体" w:cs="Times New Roman"/>
                <w:color w:val="000000" w:themeColor="text1"/>
                <w:sz w:val="26"/>
                <w:szCs w:val="26"/>
                <w:lang w:eastAsia="zh-CN"/>
                <w14:textFill>
                  <w14:solidFill>
                    <w14:schemeClr w14:val="tx1"/>
                  </w14:solidFill>
                </w14:textFill>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bookmarkStart w:id="0" w:name="_Hlk99031919"/>
            <w:r>
              <w:rPr>
                <w:rFonts w:hint="default" w:ascii="Times New Roman" w:hAnsi="Times New Roman" w:eastAsia="宋体" w:cs="Times New Roman"/>
                <w:color w:val="000000" w:themeColor="text1"/>
                <w:spacing w:val="-8"/>
                <w:sz w:val="26"/>
                <w:szCs w:val="26"/>
                <w14:textFill>
                  <w14:solidFill>
                    <w14:schemeClr w14:val="tx1"/>
                  </w14:solidFill>
                </w14:textFill>
              </w:rPr>
              <w:t>环保设施设计单位</w:t>
            </w:r>
            <w:bookmarkEnd w:id="0"/>
          </w:p>
        </w:tc>
        <w:tc>
          <w:tcPr>
            <w:tcW w:w="1044" w:type="pct"/>
            <w:vAlign w:val="center"/>
          </w:tcPr>
          <w:p>
            <w:pPr>
              <w:spacing w:after="0" w:line="360" w:lineRule="atLeast"/>
              <w:jc w:val="center"/>
              <w:rPr>
                <w:rFonts w:hint="default" w:ascii="Times New Roman" w:hAnsi="Times New Roman" w:eastAsia="宋体" w:cs="Times New Roman"/>
                <w:color w:val="000000" w:themeColor="text1"/>
                <w:sz w:val="26"/>
                <w:szCs w:val="26"/>
                <w:lang w:eastAsia="zh-CN"/>
                <w14:textFill>
                  <w14:solidFill>
                    <w14:schemeClr w14:val="tx1"/>
                  </w14:solidFill>
                </w14:textFill>
              </w:rPr>
            </w:pPr>
            <w:r>
              <w:rPr>
                <w:rFonts w:hint="default" w:ascii="Times New Roman" w:hAnsi="Times New Roman" w:eastAsia="宋体" w:cs="Times New Roman"/>
                <w:color w:val="000000" w:themeColor="text1"/>
                <w:spacing w:val="-8"/>
                <w:sz w:val="26"/>
                <w:szCs w:val="26"/>
                <w:lang w:val="en-US" w:eastAsia="zh-CN"/>
                <w14:textFill>
                  <w14:solidFill>
                    <w14:schemeClr w14:val="tx1"/>
                  </w14:solidFill>
                </w14:textFill>
              </w:rPr>
              <w:t>/</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环保设施</w:t>
            </w:r>
            <w:bookmarkStart w:id="1" w:name="_Hlk99031925"/>
            <w:r>
              <w:rPr>
                <w:rFonts w:hint="default" w:ascii="Times New Roman" w:hAnsi="Times New Roman" w:eastAsia="宋体" w:cs="Times New Roman"/>
                <w:color w:val="000000" w:themeColor="text1"/>
                <w:sz w:val="26"/>
                <w:szCs w:val="26"/>
                <w14:textFill>
                  <w14:solidFill>
                    <w14:schemeClr w14:val="tx1"/>
                  </w14:solidFill>
                </w14:textFill>
              </w:rPr>
              <w:t>施工单位</w:t>
            </w:r>
            <w:bookmarkEnd w:id="1"/>
          </w:p>
        </w:tc>
        <w:tc>
          <w:tcPr>
            <w:tcW w:w="1609" w:type="pct"/>
            <w:gridSpan w:val="3"/>
            <w:vAlign w:val="center"/>
          </w:tcPr>
          <w:p>
            <w:pPr>
              <w:spacing w:after="0" w:line="360" w:lineRule="atLeast"/>
              <w:jc w:val="center"/>
              <w:rPr>
                <w:rFonts w:hint="default" w:ascii="Times New Roman" w:hAnsi="Times New Roman" w:eastAsia="宋体" w:cs="Times New Roman"/>
                <w:color w:val="000000" w:themeColor="text1"/>
                <w:spacing w:val="-8"/>
                <w:sz w:val="26"/>
                <w:szCs w:val="26"/>
                <w:lang w:eastAsia="zh-CN"/>
                <w14:textFill>
                  <w14:solidFill>
                    <w14:schemeClr w14:val="tx1"/>
                  </w14:solidFill>
                </w14:textFill>
              </w:rPr>
            </w:pPr>
            <w:r>
              <w:rPr>
                <w:rFonts w:hint="default" w:ascii="Times New Roman" w:hAnsi="Times New Roman" w:eastAsia="宋体" w:cs="Times New Roman"/>
                <w:color w:val="000000" w:themeColor="text1"/>
                <w:spacing w:val="-8"/>
                <w:sz w:val="26"/>
                <w:szCs w:val="26"/>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投资总概算</w:t>
            </w:r>
          </w:p>
        </w:tc>
        <w:tc>
          <w:tcPr>
            <w:tcW w:w="1044"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cs="Times New Roman"/>
                <w:color w:val="000000"/>
                <w:sz w:val="26"/>
                <w:szCs w:val="26"/>
                <w:lang w:val="en-US" w:eastAsia="zh-CN"/>
              </w:rPr>
              <w:t>5453.8</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万元</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环保投资总概算</w:t>
            </w:r>
          </w:p>
        </w:tc>
        <w:tc>
          <w:tcPr>
            <w:tcW w:w="589"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80</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万元</w:t>
            </w:r>
          </w:p>
        </w:tc>
        <w:tc>
          <w:tcPr>
            <w:tcW w:w="427"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比例</w:t>
            </w:r>
          </w:p>
        </w:tc>
        <w:tc>
          <w:tcPr>
            <w:tcW w:w="59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lang w:val="en-US" w:eastAsia="zh-CN"/>
                <w14:textFill>
                  <w14:solidFill>
                    <w14:schemeClr w14:val="tx1"/>
                  </w14:solidFill>
                </w14:textFill>
              </w:rPr>
              <w:t>1.</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5</w:t>
            </w:r>
            <w:r>
              <w:rPr>
                <w:rFonts w:hint="default" w:ascii="Times New Roman" w:hAnsi="Times New Roman" w:eastAsia="宋体" w:cs="Times New Roman"/>
                <w:color w:val="000000" w:themeColor="text1"/>
                <w:sz w:val="26"/>
                <w:szCs w:val="26"/>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23" w:type="pct"/>
            <w:gridSpan w:val="2"/>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实际总概算</w:t>
            </w:r>
          </w:p>
        </w:tc>
        <w:tc>
          <w:tcPr>
            <w:tcW w:w="1044"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5450</w:t>
            </w:r>
            <w:r>
              <w:rPr>
                <w:rFonts w:hint="default" w:ascii="Times New Roman" w:hAnsi="Times New Roman" w:eastAsia="宋体" w:cs="Times New Roman"/>
                <w:color w:val="000000" w:themeColor="text1"/>
                <w:sz w:val="26"/>
                <w:szCs w:val="26"/>
                <w:highlight w:val="none"/>
                <w:lang w:val="en-US" w:eastAsia="zh-CN"/>
                <w14:textFill>
                  <w14:solidFill>
                    <w14:schemeClr w14:val="tx1"/>
                  </w14:solidFill>
                </w14:textFill>
              </w:rPr>
              <w:t>万元</w:t>
            </w:r>
          </w:p>
        </w:tc>
        <w:tc>
          <w:tcPr>
            <w:tcW w:w="1222"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环保投资</w:t>
            </w:r>
          </w:p>
        </w:tc>
        <w:tc>
          <w:tcPr>
            <w:tcW w:w="589"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6"/>
                <w:szCs w:val="26"/>
                <w:highlight w:val="none"/>
                <w:lang w:val="en-US" w:eastAsia="zh-CN"/>
                <w14:textFill>
                  <w14:solidFill>
                    <w14:schemeClr w14:val="tx1"/>
                  </w14:solidFill>
                </w14:textFill>
              </w:rPr>
              <w:t>万元</w:t>
            </w:r>
          </w:p>
        </w:tc>
        <w:tc>
          <w:tcPr>
            <w:tcW w:w="427" w:type="pct"/>
            <w:vAlign w:val="center"/>
          </w:tcPr>
          <w:p>
            <w:pPr>
              <w:spacing w:after="0" w:line="360" w:lineRule="atLeast"/>
              <w:jc w:val="both"/>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比例</w:t>
            </w:r>
          </w:p>
        </w:tc>
        <w:tc>
          <w:tcPr>
            <w:tcW w:w="59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lang w:val="en-US" w:eastAsia="zh-CN"/>
                <w14:textFill>
                  <w14:solidFill>
                    <w14:schemeClr w14:val="tx1"/>
                  </w14:solidFill>
                </w14:textFill>
              </w:rPr>
              <w:t>1.</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6</w:t>
            </w:r>
            <w:r>
              <w:rPr>
                <w:rFonts w:hint="default" w:ascii="Times New Roman" w:hAnsi="Times New Roman" w:eastAsia="宋体" w:cs="Times New Roman"/>
                <w:color w:val="000000" w:themeColor="text1"/>
                <w:sz w:val="26"/>
                <w:szCs w:val="26"/>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551" w:type="pct"/>
            <w:vAlign w:val="center"/>
          </w:tcPr>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项目概况</w:t>
            </w:r>
          </w:p>
        </w:tc>
        <w:tc>
          <w:tcPr>
            <w:tcW w:w="4448" w:type="pct"/>
            <w:gridSpan w:val="6"/>
            <w:vAlign w:val="center"/>
          </w:tcPr>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重庆信合启越科技有限公司X射线管生产扩建项目</w:t>
            </w:r>
            <w:r>
              <w:rPr>
                <w:rFonts w:hint="default" w:ascii="Times New Roman" w:hAnsi="Times New Roman" w:eastAsia="宋体" w:cs="Times New Roman"/>
                <w:bCs/>
                <w:color w:val="000000" w:themeColor="text1"/>
                <w:sz w:val="26"/>
                <w:szCs w:val="26"/>
                <w14:textFill>
                  <w14:solidFill>
                    <w14:schemeClr w14:val="tx1"/>
                  </w14:solidFill>
                </w14:textFill>
              </w:rPr>
              <w:t>位于</w:t>
            </w: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重庆高新区重庆金凤电子信息产业有限公司二期标准厂房10号楼</w:t>
            </w:r>
            <w:r>
              <w:rPr>
                <w:rFonts w:hint="default" w:ascii="Times New Roman" w:hAnsi="Times New Roman" w:eastAsia="宋体" w:cs="Times New Roman"/>
                <w:bCs/>
                <w:color w:val="000000" w:themeColor="text1"/>
                <w:sz w:val="26"/>
                <w:szCs w:val="26"/>
                <w14:textFill>
                  <w14:solidFill>
                    <w14:schemeClr w14:val="tx1"/>
                  </w14:solidFill>
                </w14:textFill>
              </w:rPr>
              <w:t>。</w:t>
            </w:r>
            <w:bookmarkStart w:id="2" w:name="_Hlk100911335"/>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企业于2018年在金凤电子信息产业有限公司二期标准厂房10号楼第四层部分建设了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eastAsia="zh-CN"/>
                <w14:textFill>
                  <w14:solidFill>
                    <w14:schemeClr w14:val="tx1"/>
                  </w14:solidFill>
                </w14:textFill>
              </w:rPr>
              <w:t>石墨烯及其应用产品研发项目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”，2018年09月14日取得了重庆市九龙坡区生态环境局下发的建设项目环境影响评价文件批准书（渝（九）环准[2018]118号），2019年04月08日完成了“</w:t>
            </w:r>
            <w:r>
              <w:rPr>
                <w:rFonts w:hint="default" w:ascii="Times New Roman" w:hAnsi="Times New Roman" w:eastAsia="宋体" w:cs="Times New Roman"/>
                <w:bCs/>
                <w:color w:val="000000" w:themeColor="text1"/>
                <w:sz w:val="26"/>
                <w:szCs w:val="26"/>
                <w:lang w:eastAsia="zh-CN"/>
                <w14:textFill>
                  <w14:solidFill>
                    <w14:schemeClr w14:val="tx1"/>
                  </w14:solidFill>
                </w14:textFill>
              </w:rPr>
              <w:t>石墨烯及其应用产品研发项目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竣工验收”，取得了重庆市九龙坡区生态环境局下发的建设项目竣工环境保护验收批复（渝（九）环验[2019]039号）。2021年8月完成了“</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环境影响评价报告表，取得了重庆高新区生态环境下发的建设项目环境影响评价文件批准书（渝（高新）环准[2021]037号），2022年4月取得了固定污染源排污登记回执（登记编号：91500107MA60J0589K001X），2022年9月取得了风险评估和应急预案备案回执，备案编号分别为：5001932022090002和500-193-2022-021-L。</w:t>
            </w:r>
          </w:p>
          <w:bookmarkEnd w:id="2"/>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环评</w:t>
            </w:r>
            <w:r>
              <w:rPr>
                <w:rFonts w:hint="default" w:ascii="Times New Roman" w:hAnsi="Times New Roman" w:eastAsia="宋体" w:cs="Times New Roman"/>
                <w:color w:val="000000" w:themeColor="text1"/>
                <w:sz w:val="26"/>
                <w:szCs w:val="26"/>
                <w14:textFill>
                  <w14:solidFill>
                    <w14:schemeClr w14:val="tx1"/>
                  </w14:solidFill>
                </w14:textFill>
              </w:rPr>
              <w:t>批准建设内容：租赁</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金凤电子信息产业园二期标准厂房10号楼第1层部分</w:t>
            </w:r>
            <w:r>
              <w:rPr>
                <w:rFonts w:hint="default" w:ascii="Times New Roman" w:hAnsi="Times New Roman" w:eastAsia="宋体" w:cs="Times New Roman"/>
                <w:color w:val="000000" w:themeColor="text1"/>
                <w:sz w:val="26"/>
                <w:szCs w:val="26"/>
                <w14:textFill>
                  <w14:solidFill>
                    <w14:schemeClr w14:val="tx1"/>
                  </w14:solidFill>
                </w14:textFill>
              </w:rPr>
              <w:t>进行建设，</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租赁</w:t>
            </w:r>
            <w:r>
              <w:rPr>
                <w:rFonts w:hint="default" w:ascii="Times New Roman" w:hAnsi="Times New Roman" w:eastAsia="宋体" w:cs="Times New Roman"/>
                <w:color w:val="000000" w:themeColor="text1"/>
                <w:sz w:val="26"/>
                <w:szCs w:val="26"/>
                <w14:textFill>
                  <w14:solidFill>
                    <w14:schemeClr w14:val="tx1"/>
                  </w14:solidFill>
                </w14:textFill>
              </w:rPr>
              <w:t>面积</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3300</w:t>
            </w:r>
            <w:r>
              <w:rPr>
                <w:rFonts w:hint="default" w:ascii="Times New Roman" w:hAnsi="Times New Roman" w:eastAsia="宋体" w:cs="Times New Roman"/>
                <w:color w:val="000000" w:themeColor="text1"/>
                <w:sz w:val="26"/>
                <w:szCs w:val="26"/>
                <w14:textFill>
                  <w14:solidFill>
                    <w14:schemeClr w14:val="tx1"/>
                  </w14:solidFill>
                </w14:textFill>
              </w:rPr>
              <w:t>m</w:t>
            </w:r>
            <w:r>
              <w:rPr>
                <w:rFonts w:hint="default" w:ascii="Times New Roman" w:hAnsi="Times New Roman" w:eastAsia="宋体" w:cs="Times New Roman"/>
                <w:color w:val="000000" w:themeColor="text1"/>
                <w:sz w:val="26"/>
                <w:szCs w:val="26"/>
                <w:vertAlign w:val="superscript"/>
                <w14:textFill>
                  <w14:solidFill>
                    <w14:schemeClr w14:val="tx1"/>
                  </w14:solidFill>
                </w14:textFill>
              </w:rPr>
              <w:t>2</w:t>
            </w:r>
            <w:r>
              <w:rPr>
                <w:rFonts w:hint="default" w:ascii="Times New Roman" w:hAnsi="Times New Roman" w:eastAsia="宋体" w:cs="Times New Roman"/>
                <w:color w:val="000000" w:themeColor="text1"/>
                <w:sz w:val="26"/>
                <w:szCs w:val="26"/>
                <w14:textFill>
                  <w14:solidFill>
                    <w14:schemeClr w14:val="tx1"/>
                  </w14:solidFill>
                </w14:textFill>
              </w:rPr>
              <w:t>。购置</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排气台、铸靶炉、玻璃车床、铅箱、除气台等生产设备，年产4万只X射线管</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项目于</w:t>
            </w:r>
            <w:bookmarkStart w:id="3" w:name="_Hlk100911808"/>
            <w:r>
              <w:rPr>
                <w:rFonts w:hint="default" w:ascii="Times New Roman" w:hAnsi="Times New Roman" w:eastAsia="宋体" w:cs="Times New Roman"/>
                <w:color w:val="000000" w:themeColor="text1"/>
                <w:sz w:val="26"/>
                <w:szCs w:val="26"/>
                <w14:textFill>
                  <w14:solidFill>
                    <w14:schemeClr w14:val="tx1"/>
                  </w14:solidFill>
                </w14:textFill>
              </w:rPr>
              <w:t>202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w:t>
            </w:r>
            <w:r>
              <w:rPr>
                <w:rFonts w:hint="default" w:ascii="Times New Roman" w:hAnsi="Times New Roman" w:eastAsia="宋体" w:cs="Times New Roman"/>
                <w:color w:val="000000" w:themeColor="text1"/>
                <w:sz w:val="26"/>
                <w:szCs w:val="26"/>
                <w14:textFill>
                  <w14:solidFill>
                    <w14:schemeClr w14:val="tx1"/>
                  </w14:solidFill>
                </w14:textFill>
              </w:rPr>
              <w:t>年1</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0</w:t>
            </w:r>
            <w:r>
              <w:rPr>
                <w:rFonts w:hint="default" w:ascii="Times New Roman" w:hAnsi="Times New Roman" w:eastAsia="宋体" w:cs="Times New Roman"/>
                <w:color w:val="000000" w:themeColor="text1"/>
                <w:sz w:val="26"/>
                <w:szCs w:val="26"/>
                <w14:textFill>
                  <w14:solidFill>
                    <w14:schemeClr w14:val="tx1"/>
                  </w14:solidFill>
                </w14:textFill>
              </w:rPr>
              <w:t>月开工建设</w:t>
            </w:r>
            <w:bookmarkEnd w:id="3"/>
            <w:r>
              <w:rPr>
                <w:rFonts w:hint="default" w:ascii="Times New Roman" w:hAnsi="Times New Roman" w:eastAsia="宋体" w:cs="Times New Roman"/>
                <w:color w:val="000000" w:themeColor="text1"/>
                <w:sz w:val="26"/>
                <w:szCs w:val="26"/>
                <w14:textFill>
                  <w14:solidFill>
                    <w14:schemeClr w14:val="tx1"/>
                  </w14:solidFill>
                </w14:textFill>
              </w:rPr>
              <w:t>，</w:t>
            </w:r>
            <w:bookmarkStart w:id="4" w:name="_Hlk100911815"/>
            <w:r>
              <w:rPr>
                <w:rFonts w:hint="default" w:ascii="Times New Roman" w:hAnsi="Times New Roman" w:eastAsia="宋体" w:cs="Times New Roman"/>
                <w:color w:val="000000" w:themeColor="text1"/>
                <w:sz w:val="26"/>
                <w:szCs w:val="26"/>
                <w:lang w:val="en-US" w:eastAsia="zh-CN"/>
                <w14:textFill>
                  <w14:solidFill>
                    <w14:schemeClr w14:val="tx1"/>
                  </w14:solidFill>
                </w14:textFill>
              </w:rPr>
              <w:t>于2022年5</w:t>
            </w:r>
            <w:r>
              <w:rPr>
                <w:rFonts w:hint="default" w:ascii="Times New Roman" w:hAnsi="Times New Roman" w:eastAsia="宋体" w:cs="Times New Roman"/>
                <w:color w:val="000000" w:themeColor="text1"/>
                <w:sz w:val="26"/>
                <w:szCs w:val="26"/>
                <w14:textFill>
                  <w14:solidFill>
                    <w14:schemeClr w14:val="tx1"/>
                  </w14:solidFill>
                </w14:textFill>
              </w:rPr>
              <w:t>月建设完成</w:t>
            </w:r>
            <w:bookmarkEnd w:id="4"/>
            <w:r>
              <w:rPr>
                <w:rFonts w:hint="default" w:ascii="Times New Roman" w:hAnsi="Times New Roman" w:eastAsia="宋体" w:cs="Times New Roman"/>
                <w:color w:val="000000" w:themeColor="text1"/>
                <w:sz w:val="26"/>
                <w:szCs w:val="26"/>
                <w14:textFill>
                  <w14:solidFill>
                    <w14:schemeClr w14:val="tx1"/>
                  </w14:solidFill>
                </w14:textFill>
              </w:rPr>
              <w:t>，项目于2022年</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6</w:t>
            </w:r>
            <w:r>
              <w:rPr>
                <w:rFonts w:hint="default" w:ascii="Times New Roman" w:hAnsi="Times New Roman" w:eastAsia="宋体" w:cs="Times New Roman"/>
                <w:color w:val="000000" w:themeColor="text1"/>
                <w:sz w:val="26"/>
                <w:szCs w:val="26"/>
                <w14:textFill>
                  <w14:solidFill>
                    <w14:schemeClr w14:val="tx1"/>
                  </w14:solidFill>
                </w14:textFill>
              </w:rPr>
              <w:t>月开始进行调试</w:t>
            </w:r>
            <w:r>
              <w:rPr>
                <w:rFonts w:hint="eastAsia" w:ascii="Times New Roman" w:hAnsi="Times New Roman" w:eastAsia="宋体" w:cs="Times New Roman"/>
                <w:color w:val="000000" w:themeColor="text1"/>
                <w:sz w:val="26"/>
                <w:szCs w:val="26"/>
                <w:lang w:eastAsia="zh-CN"/>
                <w14:textFill>
                  <w14:solidFill>
                    <w14:schemeClr w14:val="tx1"/>
                  </w14:solidFill>
                </w14:textFill>
              </w:rPr>
              <w:t>，</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受疫情影响，2022年11月-2023年1月，企业暂停生产，2023年2月恢复生产</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lang w:eastAsia="zh-CN"/>
                <w14:textFill>
                  <w14:solidFill>
                    <w14:schemeClr w14:val="tx1"/>
                  </w14:solidFill>
                </w14:textFill>
              </w:rPr>
            </w:pPr>
            <w:bookmarkStart w:id="5" w:name="_Hlk100908392"/>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本项目实际建设内容为</w:t>
            </w:r>
            <w:r>
              <w:rPr>
                <w:rFonts w:hint="default" w:ascii="Times New Roman" w:hAnsi="Times New Roman" w:eastAsia="宋体" w:cs="Times New Roman"/>
                <w:color w:val="000000" w:themeColor="text1"/>
                <w:sz w:val="26"/>
                <w:szCs w:val="26"/>
                <w14:textFill>
                  <w14:solidFill>
                    <w14:schemeClr w14:val="tx1"/>
                  </w14:solidFill>
                </w14:textFill>
              </w:rPr>
              <w:t>租赁</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金凤电子信息产业园二期标准厂房10号楼第1层部分</w:t>
            </w:r>
            <w:r>
              <w:rPr>
                <w:rFonts w:hint="default" w:ascii="Times New Roman" w:hAnsi="Times New Roman" w:eastAsia="宋体" w:cs="Times New Roman"/>
                <w:color w:val="000000" w:themeColor="text1"/>
                <w:sz w:val="26"/>
                <w:szCs w:val="26"/>
                <w14:textFill>
                  <w14:solidFill>
                    <w14:schemeClr w14:val="tx1"/>
                  </w14:solidFill>
                </w14:textFill>
              </w:rPr>
              <w:t>进行建设，</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租赁</w:t>
            </w:r>
            <w:r>
              <w:rPr>
                <w:rFonts w:hint="default" w:ascii="Times New Roman" w:hAnsi="Times New Roman" w:eastAsia="宋体" w:cs="Times New Roman"/>
                <w:color w:val="000000" w:themeColor="text1"/>
                <w:sz w:val="26"/>
                <w:szCs w:val="26"/>
                <w14:textFill>
                  <w14:solidFill>
                    <w14:schemeClr w14:val="tx1"/>
                  </w14:solidFill>
                </w14:textFill>
              </w:rPr>
              <w:t>面积</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3300</w:t>
            </w:r>
            <w:r>
              <w:rPr>
                <w:rFonts w:hint="default" w:ascii="Times New Roman" w:hAnsi="Times New Roman" w:eastAsia="宋体" w:cs="Times New Roman"/>
                <w:color w:val="000000" w:themeColor="text1"/>
                <w:sz w:val="26"/>
                <w:szCs w:val="26"/>
                <w14:textFill>
                  <w14:solidFill>
                    <w14:schemeClr w14:val="tx1"/>
                  </w14:solidFill>
                </w14:textFill>
              </w:rPr>
              <w:t>m</w:t>
            </w:r>
            <w:r>
              <w:rPr>
                <w:rFonts w:hint="default" w:ascii="Times New Roman" w:hAnsi="Times New Roman" w:eastAsia="宋体" w:cs="Times New Roman"/>
                <w:color w:val="000000" w:themeColor="text1"/>
                <w:sz w:val="26"/>
                <w:szCs w:val="26"/>
                <w:vertAlign w:val="superscript"/>
                <w14:textFill>
                  <w14:solidFill>
                    <w14:schemeClr w14:val="tx1"/>
                  </w14:solidFill>
                </w14:textFill>
              </w:rPr>
              <w:t>2</w:t>
            </w:r>
            <w:r>
              <w:rPr>
                <w:rFonts w:hint="default" w:ascii="Times New Roman" w:hAnsi="Times New Roman" w:eastAsia="宋体" w:cs="Times New Roman"/>
                <w:color w:val="000000" w:themeColor="text1"/>
                <w:sz w:val="26"/>
                <w:szCs w:val="26"/>
                <w14:textFill>
                  <w14:solidFill>
                    <w14:schemeClr w14:val="tx1"/>
                  </w14:solidFill>
                </w14:textFill>
              </w:rPr>
              <w:t>。购置</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排气台、铸靶炉、玻璃车床、铅箱、除气台等生产设备，年产4万只X射线管</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。与环评及批复批准建设内容一致。</w:t>
            </w:r>
            <w:bookmarkEnd w:id="5"/>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根据《建设项目环境保护管理条例》（中华人民共和国国务院令682号）、《关于规范建设单位自主开展建设项目竣工环境保护验收的通知》（环办环评函〔2017〕1235号）及《建设项目竣工环境保护验收暂行办法》（国环规环评[2017]4号）等相关要求，</w:t>
            </w: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重庆信合启越科技有限公司</w:t>
            </w:r>
            <w:r>
              <w:rPr>
                <w:rFonts w:hint="default" w:ascii="Times New Roman" w:hAnsi="Times New Roman" w:eastAsia="宋体" w:cs="Times New Roman"/>
                <w:color w:val="000000" w:themeColor="text1"/>
                <w:sz w:val="26"/>
                <w:szCs w:val="26"/>
                <w14:textFill>
                  <w14:solidFill>
                    <w14:schemeClr w14:val="tx1"/>
                  </w14:solidFill>
                </w14:textFill>
              </w:rPr>
              <w:t>于2022年</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6</w:t>
            </w:r>
            <w:r>
              <w:rPr>
                <w:rFonts w:hint="default" w:ascii="Times New Roman" w:hAnsi="Times New Roman" w:eastAsia="宋体" w:cs="Times New Roman"/>
                <w:color w:val="000000" w:themeColor="text1"/>
                <w:sz w:val="26"/>
                <w:szCs w:val="26"/>
                <w14:textFill>
                  <w14:solidFill>
                    <w14:schemeClr w14:val="tx1"/>
                  </w14:solidFill>
                </w14:textFill>
              </w:rPr>
              <w:t>月启动竣工环境保护验收工作。根据《</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default" w:ascii="Times New Roman" w:hAnsi="Times New Roman" w:eastAsia="宋体" w:cs="Times New Roman"/>
                <w:bCs/>
                <w:color w:val="000000" w:themeColor="text1"/>
                <w:sz w:val="26"/>
                <w:szCs w:val="26"/>
                <w14:textFill>
                  <w14:solidFill>
                    <w14:schemeClr w14:val="tx1"/>
                  </w14:solidFill>
                </w14:textFill>
              </w:rPr>
              <w:t>环境影响报告表</w:t>
            </w:r>
            <w:r>
              <w:rPr>
                <w:rFonts w:hint="default" w:ascii="Times New Roman" w:hAnsi="Times New Roman" w:eastAsia="宋体" w:cs="Times New Roman"/>
                <w:color w:val="000000" w:themeColor="text1"/>
                <w:sz w:val="26"/>
                <w:szCs w:val="26"/>
                <w14:textFill>
                  <w14:solidFill>
                    <w14:schemeClr w14:val="tx1"/>
                  </w14:solidFill>
                </w14:textFill>
              </w:rPr>
              <w:t>》及批复、</w:t>
            </w:r>
            <w:r>
              <w:rPr>
                <w:rFonts w:hint="default" w:ascii="Times New Roman" w:hAnsi="Times New Roman" w:eastAsia="宋体" w:cs="Times New Roman"/>
                <w:color w:val="000000" w:themeColor="text1"/>
                <w:sz w:val="26"/>
                <w:szCs w:val="26"/>
                <w:highlight w:val="none"/>
                <w14:textFill>
                  <w14:solidFill>
                    <w14:schemeClr w14:val="tx1"/>
                  </w14:solidFill>
                </w14:textFill>
              </w:rPr>
              <w:t>相关标准、技术规范的要求和现场实际情况，拟定了验收监测方案，于202</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6"/>
                <w:szCs w:val="26"/>
                <w:highlight w:val="none"/>
                <w14:textFill>
                  <w14:solidFill>
                    <w14:schemeClr w14:val="tx1"/>
                  </w14:solidFill>
                </w14:textFill>
              </w:rPr>
              <w:t>年</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6"/>
                <w:szCs w:val="26"/>
                <w:highlight w:val="none"/>
                <w14:textFill>
                  <w14:solidFill>
                    <w14:schemeClr w14:val="tx1"/>
                  </w14:solidFill>
                </w14:textFill>
              </w:rPr>
              <w:t>月1日~2日</w:t>
            </w:r>
            <w:r>
              <w:rPr>
                <w:rFonts w:hint="default" w:ascii="Times New Roman" w:hAnsi="Times New Roman" w:eastAsia="宋体" w:cs="Times New Roman"/>
                <w:color w:val="000000" w:themeColor="text1"/>
                <w:sz w:val="26"/>
                <w:szCs w:val="26"/>
                <w14:textFill>
                  <w14:solidFill>
                    <w14:schemeClr w14:val="tx1"/>
                  </w14:solidFill>
                </w14:textFill>
              </w:rPr>
              <w:t>委托</w:t>
            </w:r>
            <w:r>
              <w:rPr>
                <w:rFonts w:hint="eastAsia" w:ascii="Times New Roman" w:hAnsi="Times New Roman" w:eastAsia="宋体" w:cs="Times New Roman"/>
                <w:color w:val="000000" w:themeColor="text1"/>
                <w:sz w:val="26"/>
                <w:szCs w:val="26"/>
                <w:highlight w:val="none"/>
                <w:lang w:eastAsia="zh-CN"/>
                <w14:textFill>
                  <w14:solidFill>
                    <w14:schemeClr w14:val="tx1"/>
                  </w14:solidFill>
                </w14:textFill>
              </w:rPr>
              <w:t>重庆厦美环保科技有限公司</w:t>
            </w:r>
            <w:r>
              <w:rPr>
                <w:rFonts w:hint="default" w:ascii="Times New Roman" w:hAnsi="Times New Roman" w:eastAsia="宋体" w:cs="Times New Roman"/>
                <w:color w:val="000000" w:themeColor="text1"/>
                <w:sz w:val="26"/>
                <w:szCs w:val="26"/>
                <w14:textFill>
                  <w14:solidFill>
                    <w14:schemeClr w14:val="tx1"/>
                  </w14:solidFill>
                </w14:textFill>
              </w:rPr>
              <w:t>实施了现场监测。根据环评报告及批复、现场监测结果、建设项目竣工环境保护验收技术指南等要求编制完成了《</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default" w:ascii="Times New Roman" w:hAnsi="Times New Roman" w:eastAsia="宋体" w:cs="Times New Roman"/>
                <w:color w:val="000000" w:themeColor="text1"/>
                <w:sz w:val="26"/>
                <w:szCs w:val="26"/>
                <w14:textFill>
                  <w14:solidFill>
                    <w14:schemeClr w14:val="tx1"/>
                  </w14:solidFill>
                </w14:textFill>
              </w:rPr>
              <w:t>竣工环境保护验收监测报告表》。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报告编制过程中得到了重庆</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高新</w:t>
            </w:r>
            <w:r>
              <w:rPr>
                <w:rFonts w:hint="default" w:ascii="Times New Roman" w:hAnsi="Times New Roman" w:eastAsia="宋体" w:cs="Times New Roman"/>
                <w:color w:val="000000" w:themeColor="text1"/>
                <w:sz w:val="26"/>
                <w:szCs w:val="26"/>
                <w14:textFill>
                  <w14:solidFill>
                    <w14:schemeClr w14:val="tx1"/>
                  </w14:solidFill>
                </w14:textFill>
              </w:rPr>
              <w:t>区生态环境局和</w:t>
            </w:r>
            <w:r>
              <w:rPr>
                <w:rFonts w:hint="eastAsia" w:ascii="Times New Roman" w:hAnsi="Times New Roman" w:eastAsia="宋体" w:cs="Times New Roman"/>
                <w:color w:val="000000" w:themeColor="text1"/>
                <w:sz w:val="26"/>
                <w:szCs w:val="26"/>
                <w:highlight w:val="none"/>
                <w:lang w:eastAsia="zh-CN"/>
                <w14:textFill>
                  <w14:solidFill>
                    <w14:schemeClr w14:val="tx1"/>
                  </w14:solidFill>
                </w14:textFill>
              </w:rPr>
              <w:t>重庆厦美环保科技有限公司</w:t>
            </w:r>
            <w:r>
              <w:rPr>
                <w:rFonts w:hint="default" w:ascii="Times New Roman" w:hAnsi="Times New Roman" w:eastAsia="宋体" w:cs="Times New Roman"/>
                <w:color w:val="000000" w:themeColor="text1"/>
                <w:sz w:val="26"/>
                <w:szCs w:val="26"/>
                <w14:textFill>
                  <w14:solidFill>
                    <w14:schemeClr w14:val="tx1"/>
                  </w14:solidFill>
                </w14:textFill>
              </w:rPr>
              <w:t>等单位的支持和指导，在此一并表示诚挚的谢意！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1" w:type="pct"/>
            <w:vAlign w:val="center"/>
          </w:tcPr>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验收监测依据</w:t>
            </w:r>
          </w:p>
        </w:tc>
        <w:tc>
          <w:tcPr>
            <w:tcW w:w="4448" w:type="pct"/>
            <w:gridSpan w:val="6"/>
            <w:vAlign w:val="center"/>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1.1建设项目环境保护相关法律、法规、规章和规范</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（1）《中华人民共和国环境保护法》（</w:t>
            </w:r>
            <w:r>
              <w:rPr>
                <w:rFonts w:hint="default" w:ascii="Times New Roman" w:hAnsi="Times New Roman" w:eastAsia="宋体" w:cs="Times New Roman"/>
                <w:bCs/>
                <w:color w:val="000000" w:themeColor="text1"/>
                <w:sz w:val="26"/>
                <w:szCs w:val="26"/>
                <w14:textFill>
                  <w14:solidFill>
                    <w14:schemeClr w14:val="tx1"/>
                  </w14:solidFill>
                </w14:textFill>
              </w:rPr>
              <w:t>2014年4月24日修订，2015年1月1日起施行</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（2）《中华人民共和国环境影响评价法》（</w:t>
            </w:r>
            <w:r>
              <w:rPr>
                <w:rFonts w:hint="default" w:ascii="Times New Roman" w:hAnsi="Times New Roman" w:eastAsia="宋体" w:cs="Times New Roman"/>
                <w:bCs/>
                <w:color w:val="000000" w:themeColor="text1"/>
                <w:sz w:val="26"/>
                <w:szCs w:val="26"/>
                <w14:textFill>
                  <w14:solidFill>
                    <w14:schemeClr w14:val="tx1"/>
                  </w14:solidFill>
                </w14:textFill>
              </w:rPr>
              <w:t>2018年12月29日修订并施行</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（3）《中华人民共和国大气污染防治法》（</w:t>
            </w:r>
            <w:r>
              <w:rPr>
                <w:rFonts w:hint="default" w:ascii="Times New Roman" w:hAnsi="Times New Roman" w:eastAsia="宋体" w:cs="Times New Roman"/>
                <w:bCs/>
                <w:color w:val="000000" w:themeColor="text1"/>
                <w:sz w:val="26"/>
                <w:szCs w:val="26"/>
                <w14:textFill>
                  <w14:solidFill>
                    <w14:schemeClr w14:val="tx1"/>
                  </w14:solidFill>
                </w14:textFill>
              </w:rPr>
              <w:t>2018年10月26日修订并施行</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（4）《中华人民共和国水污染防治法》（</w:t>
            </w:r>
            <w:r>
              <w:rPr>
                <w:rFonts w:hint="default" w:ascii="Times New Roman" w:hAnsi="Times New Roman" w:eastAsia="宋体" w:cs="Times New Roman"/>
                <w:bCs/>
                <w:color w:val="000000" w:themeColor="text1"/>
                <w:sz w:val="26"/>
                <w:szCs w:val="26"/>
                <w14:textFill>
                  <w14:solidFill>
                    <w14:schemeClr w14:val="tx1"/>
                  </w14:solidFill>
                </w14:textFill>
              </w:rPr>
              <w:t>2017年6月27日第二次修正，2018年1月1日起施行</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（5）《中华人民共和国固体废物污染环境防治法》（</w:t>
            </w:r>
            <w:bookmarkStart w:id="6" w:name="_Hlk46841862"/>
            <w:r>
              <w:rPr>
                <w:rFonts w:hint="default" w:ascii="Times New Roman" w:hAnsi="Times New Roman" w:eastAsia="宋体" w:cs="Times New Roman"/>
                <w:bCs/>
                <w:color w:val="000000" w:themeColor="text1"/>
                <w:sz w:val="26"/>
                <w:szCs w:val="26"/>
                <w14:textFill>
                  <w14:solidFill>
                    <w14:schemeClr w14:val="tx1"/>
                  </w14:solidFill>
                </w14:textFill>
              </w:rPr>
              <w:t>2020年4月29日修订，2020年9月1日起施行</w:t>
            </w:r>
            <w:bookmarkEnd w:id="6"/>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（6）《中华人民共和国噪声污染防治法》（</w:t>
            </w:r>
            <w:r>
              <w:rPr>
                <w:rFonts w:hint="default" w:ascii="Times New Roman" w:hAnsi="Times New Roman" w:eastAsia="宋体" w:cs="Times New Roman"/>
                <w:bCs/>
                <w:color w:val="000000" w:themeColor="text1"/>
                <w:sz w:val="26"/>
                <w:szCs w:val="26"/>
                <w14:textFill>
                  <w14:solidFill>
                    <w14:schemeClr w14:val="tx1"/>
                  </w14:solidFill>
                </w14:textFill>
              </w:rPr>
              <w:t>2021年12月24日修订，2022年6月5日施行</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（7）《建设项目环境保护管理条例》（2017年6月21日国务院第177次常务会议通过，2017年10月1日起施行）；</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（8）《建设项目竣工环境保护验收暂行办法》（国环规环评[2017]4号）；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（9）《关于印发建设项目竣工环境保护验收现场检查及审查重点的通知》（环办〔2015〕113号）；</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（10）《关于规范建设单位自主开展建设项目竣工环境保护验收的通知》（环办环评函〔2017〕1235号）；</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（11）《国家危险废物名录（2021年版）》（部令第15号）；</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（12）《危险废物转移管理办法》（生态环境部 公安部 交通运输部 部令 第23号），2022年1月1日起施行；</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（13）</w:t>
            </w:r>
            <w:r>
              <w:rPr>
                <w:rFonts w:ascii="Times New Roman" w:hAnsi="Times New Roman" w:eastAsia="宋体"/>
                <w:color w:val="000000" w:themeColor="text1"/>
                <w:sz w:val="26"/>
                <w:szCs w:val="26"/>
                <w14:textFill>
                  <w14:solidFill>
                    <w14:schemeClr w14:val="tx1"/>
                  </w14:solidFill>
                </w14:textFill>
              </w:rPr>
              <w:t>《重庆市环境保护条例》（</w:t>
            </w:r>
            <w:r>
              <w:rPr>
                <w:rFonts w:hint="eastAsia" w:ascii="Times New Roman" w:hAnsi="Times New Roman" w:eastAsia="宋体"/>
                <w:color w:val="000000" w:themeColor="text1"/>
                <w:sz w:val="26"/>
                <w:szCs w:val="26"/>
                <w14:textFill>
                  <w14:solidFill>
                    <w14:schemeClr w14:val="tx1"/>
                  </w14:solidFill>
                </w14:textFill>
              </w:rPr>
              <w:t>2022.9.28</w:t>
            </w:r>
            <w:r>
              <w:rPr>
                <w:rFonts w:ascii="Times New Roman" w:hAnsi="Times New Roman" w:eastAsia="宋体"/>
                <w:color w:val="000000" w:themeColor="text1"/>
                <w:sz w:val="26"/>
                <w:szCs w:val="26"/>
                <w14:textFill>
                  <w14:solidFill>
                    <w14:schemeClr w14:val="tx1"/>
                  </w14:solidFill>
                </w14:textFill>
              </w:rPr>
              <w:t>修正）</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（14）</w:t>
            </w:r>
            <w:r>
              <w:rPr>
                <w:rFonts w:hint="default" w:ascii="Times New Roman" w:hAnsi="Times New Roman" w:eastAsia="宋体" w:cs="Times New Roman"/>
                <w:bCs/>
                <w:color w:val="000000" w:themeColor="text1"/>
                <w:sz w:val="26"/>
                <w:szCs w:val="26"/>
                <w14:textFill>
                  <w14:solidFill>
                    <w14:schemeClr w14:val="tx1"/>
                  </w14:solidFill>
                </w14:textFill>
              </w:rPr>
              <w:t>《重庆市大气污染防治条例》（2021年5月27日修正）；</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（15）《重庆市水污染防治条例》（2020年10月1日施行）；</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（16）</w:t>
            </w:r>
            <w:r>
              <w:rPr>
                <w:rFonts w:ascii="Times New Roman" w:hAnsi="Times New Roman" w:eastAsia="宋体"/>
                <w:color w:val="000000" w:themeColor="text1"/>
                <w:sz w:val="26"/>
                <w:szCs w:val="26"/>
                <w14:textFill>
                  <w14:solidFill>
                    <w14:schemeClr w14:val="tx1"/>
                  </w14:solidFill>
                </w14:textFill>
              </w:rPr>
              <w:t>《重庆市环境噪声污染防治办法》（</w:t>
            </w:r>
            <w:r>
              <w:rPr>
                <w:rFonts w:hint="eastAsia" w:ascii="Times New Roman" w:hAnsi="Times New Roman" w:eastAsia="宋体"/>
                <w:color w:val="000000" w:themeColor="text1"/>
                <w:sz w:val="26"/>
                <w:szCs w:val="26"/>
                <w14:textFill>
                  <w14:solidFill>
                    <w14:schemeClr w14:val="tx1"/>
                  </w14:solidFill>
                </w14:textFill>
              </w:rPr>
              <w:t>2019年10月10日修订</w:t>
            </w:r>
            <w:r>
              <w:rPr>
                <w:rFonts w:ascii="Times New Roman" w:hAnsi="Times New Roman" w:eastAsia="宋体"/>
                <w:color w:val="000000" w:themeColor="text1"/>
                <w:sz w:val="26"/>
                <w:szCs w:val="26"/>
                <w14:textFill>
                  <w14:solidFill>
                    <w14:schemeClr w14:val="tx1"/>
                  </w14:solidFill>
                </w14:textFill>
              </w:rPr>
              <w:t>）</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（17）《重庆市环境保护局关于印发重庆市排污口规范化清理整治实施方案的通知》（渝环发</w:t>
            </w:r>
            <w:r>
              <w:rPr>
                <w:rFonts w:hint="eastAsia" w:ascii="Times New Roman" w:hAnsi="Times New Roman" w:eastAsia="宋体" w:cs="Times New Roman"/>
                <w:color w:val="000000" w:themeColor="text1"/>
                <w:sz w:val="26"/>
                <w:szCs w:val="26"/>
                <w:lang w:eastAsia="zh-CN"/>
                <w14:textFill>
                  <w14:solidFill>
                    <w14:schemeClr w14:val="tx1"/>
                  </w14:solidFill>
                </w14:textFill>
              </w:rPr>
              <w:t>〔</w:t>
            </w:r>
            <w:r>
              <w:rPr>
                <w:rFonts w:hint="default" w:ascii="Times New Roman" w:hAnsi="Times New Roman" w:eastAsia="宋体" w:cs="Times New Roman"/>
                <w:color w:val="000000" w:themeColor="text1"/>
                <w:sz w:val="26"/>
                <w:szCs w:val="26"/>
                <w14:textFill>
                  <w14:solidFill>
                    <w14:schemeClr w14:val="tx1"/>
                  </w14:solidFill>
                </w14:textFill>
              </w:rPr>
              <w:t>2012</w:t>
            </w:r>
            <w:r>
              <w:rPr>
                <w:rFonts w:hint="eastAsia" w:ascii="Times New Roman" w:hAnsi="Times New Roman" w:eastAsia="宋体" w:cs="Times New Roman"/>
                <w:color w:val="000000" w:themeColor="text1"/>
                <w:sz w:val="26"/>
                <w:szCs w:val="26"/>
                <w:lang w:eastAsia="zh-CN"/>
                <w14:textFill>
                  <w14:solidFill>
                    <w14:schemeClr w14:val="tx1"/>
                  </w14:solidFill>
                </w14:textFill>
              </w:rPr>
              <w:t>〕</w:t>
            </w:r>
            <w:r>
              <w:rPr>
                <w:rFonts w:hint="default" w:ascii="Times New Roman" w:hAnsi="Times New Roman" w:eastAsia="宋体" w:cs="Times New Roman"/>
                <w:color w:val="000000" w:themeColor="text1"/>
                <w:sz w:val="26"/>
                <w:szCs w:val="26"/>
                <w14:textFill>
                  <w14:solidFill>
                    <w14:schemeClr w14:val="tx1"/>
                  </w14:solidFill>
                </w14:textFill>
              </w:rPr>
              <w:t>26号）。</w:t>
            </w:r>
          </w:p>
          <w:p>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1.2建设项目竣工环境保护验收技术规范</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1</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《建设项目竣工环境保护验收技术指南污染影响类》（公告2018年第9号）</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（2）关于印发《污染影响类建设项目重大变动清单（试行）》的通知（环办环评函〔2020〕688号）；</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《固定污染源排污许可分类管理名录（2019年版）》（生态环境部令 第11号）</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4</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《排污单位自行监测技术指南 总则》（HJ 819-2017）</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p>
          <w:p>
            <w:pPr>
              <w:spacing w:after="0" w:line="460" w:lineRule="atLeast"/>
              <w:ind w:firstLine="52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5</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《排污许可证申请与核发技术规范 总则》（HJ 942-2018）</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color w:val="000000" w:themeColor="text1"/>
                <w:spacing w:val="-8"/>
                <w:sz w:val="26"/>
                <w:szCs w:val="26"/>
                <w14:textFill>
                  <w14:solidFill>
                    <w14:schemeClr w14:val="tx1"/>
                  </w14:solidFill>
                </w14:textFill>
              </w:rPr>
            </w:pPr>
            <w:r>
              <w:rPr>
                <w:rFonts w:hint="default" w:ascii="Times New Roman" w:hAnsi="Times New Roman" w:eastAsia="宋体" w:cs="Times New Roman"/>
                <w:b/>
                <w:color w:val="000000" w:themeColor="text1"/>
                <w:spacing w:val="-8"/>
                <w:sz w:val="26"/>
                <w:szCs w:val="26"/>
                <w14:textFill>
                  <w14:solidFill>
                    <w14:schemeClr w14:val="tx1"/>
                  </w14:solidFill>
                </w14:textFill>
              </w:rPr>
              <w:t>1.3建设项目环境影响报告书（表）及审批部门审批决定</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default" w:ascii="Times New Roman" w:hAnsi="Times New Roman" w:eastAsia="宋体" w:cs="Times New Roman"/>
                <w:bCs/>
                <w:color w:val="000000" w:themeColor="text1"/>
                <w:sz w:val="26"/>
                <w:szCs w:val="26"/>
                <w14:textFill>
                  <w14:solidFill>
                    <w14:schemeClr w14:val="tx1"/>
                  </w14:solidFill>
                </w14:textFill>
              </w:rPr>
              <w:t>环境影响报告表》</w:t>
            </w:r>
            <w:r>
              <w:rPr>
                <w:rFonts w:hint="default" w:ascii="Times New Roman" w:hAnsi="Times New Roman" w:eastAsia="宋体" w:cs="Times New Roman"/>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重庆一可环保工程有限公司</w:t>
            </w:r>
            <w:r>
              <w:rPr>
                <w:rFonts w:hint="default" w:ascii="Times New Roman" w:hAnsi="Times New Roman" w:eastAsia="宋体" w:cs="Times New Roman"/>
                <w:color w:val="000000" w:themeColor="text1"/>
                <w:sz w:val="26"/>
                <w:szCs w:val="26"/>
                <w14:textFill>
                  <w14:solidFill>
                    <w14:schemeClr w14:val="tx1"/>
                  </w14:solidFill>
                </w14:textFill>
              </w:rPr>
              <w:t>，20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21</w:t>
            </w:r>
            <w:r>
              <w:rPr>
                <w:rFonts w:hint="default" w:ascii="Times New Roman" w:hAnsi="Times New Roman" w:eastAsia="宋体" w:cs="Times New Roman"/>
                <w:color w:val="000000" w:themeColor="text1"/>
                <w:sz w:val="26"/>
                <w:szCs w:val="26"/>
                <w14:textFill>
                  <w14:solidFill>
                    <w14:schemeClr w14:val="tx1"/>
                  </w14:solidFill>
                </w14:textFill>
              </w:rPr>
              <w:t>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8</w:t>
            </w:r>
            <w:r>
              <w:rPr>
                <w:rFonts w:hint="default" w:ascii="Times New Roman" w:hAnsi="Times New Roman" w:eastAsia="宋体" w:cs="Times New Roman"/>
                <w:color w:val="000000" w:themeColor="text1"/>
                <w:sz w:val="26"/>
                <w:szCs w:val="26"/>
                <w14:textFill>
                  <w14:solidFill>
                    <w14:schemeClr w14:val="tx1"/>
                  </w14:solidFill>
                </w14:textFill>
              </w:rPr>
              <w:t>月）；</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w:t>
            </w:r>
            <w:r>
              <w:rPr>
                <w:rFonts w:hint="default" w:ascii="Times New Roman" w:hAnsi="Times New Roman" w:eastAsia="宋体" w:cs="Times New Roman"/>
                <w:bCs/>
                <w:color w:val="000000" w:themeColor="text1"/>
                <w:sz w:val="26"/>
                <w:szCs w:val="26"/>
                <w14:textFill>
                  <w14:solidFill>
                    <w14:schemeClr w14:val="tx1"/>
                  </w14:solidFill>
                </w14:textFill>
              </w:rPr>
              <w:t>重庆市建设项目环境影响评价文件批准书</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eastAsia="zh-CN"/>
                <w14:textFill>
                  <w14:solidFill>
                    <w14:schemeClr w14:val="tx1"/>
                  </w14:solidFill>
                </w14:textFill>
              </w:rPr>
              <w:t>渝（高新）环准〔2021〕037号，</w:t>
            </w:r>
            <w:r>
              <w:rPr>
                <w:rFonts w:hint="default" w:ascii="Times New Roman" w:hAnsi="Times New Roman" w:eastAsia="宋体" w:cs="Times New Roman"/>
                <w:bCs/>
                <w:color w:val="000000" w:themeColor="text1"/>
                <w:sz w:val="26"/>
                <w:szCs w:val="26"/>
                <w:lang w:eastAsia="zh-CN"/>
                <w14:textFill>
                  <w14:solidFill>
                    <w14:schemeClr w14:val="tx1"/>
                  </w14:solidFill>
                </w14:textFill>
              </w:rPr>
              <w:t>重庆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高新区</w:t>
            </w:r>
            <w:r>
              <w:rPr>
                <w:rFonts w:hint="default" w:ascii="Times New Roman" w:hAnsi="Times New Roman" w:eastAsia="宋体" w:cs="Times New Roman"/>
                <w:bCs/>
                <w:color w:val="000000" w:themeColor="text1"/>
                <w:sz w:val="26"/>
                <w:szCs w:val="26"/>
                <w:lang w:eastAsia="zh-CN"/>
                <w14:textFill>
                  <w14:solidFill>
                    <w14:schemeClr w14:val="tx1"/>
                  </w14:solidFill>
                </w14:textFill>
              </w:rPr>
              <w:t>生态环境局</w:t>
            </w:r>
            <w:r>
              <w:rPr>
                <w:rFonts w:hint="default" w:ascii="Times New Roman" w:hAnsi="Times New Roman" w:eastAsia="宋体" w:cs="Times New Roman"/>
                <w:color w:val="000000" w:themeColor="text1"/>
                <w:sz w:val="26"/>
                <w:szCs w:val="26"/>
                <w14:textFill>
                  <w14:solidFill>
                    <w14:schemeClr w14:val="tx1"/>
                  </w14:solidFill>
                </w14:textFill>
              </w:rPr>
              <w:t>，</w:t>
            </w:r>
            <w:r>
              <w:rPr>
                <w:rFonts w:hint="default" w:ascii="Times New Roman" w:hAnsi="Times New Roman" w:eastAsia="宋体" w:cs="Times New Roman"/>
                <w:color w:val="000000" w:themeColor="text1"/>
                <w:sz w:val="26"/>
                <w:szCs w:val="26"/>
                <w:lang w:eastAsia="zh-CN"/>
                <w14:textFill>
                  <w14:solidFill>
                    <w14:schemeClr w14:val="tx1"/>
                  </w14:solidFill>
                </w14:textFill>
              </w:rPr>
              <w:t>20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21</w:t>
            </w:r>
            <w:r>
              <w:rPr>
                <w:rFonts w:hint="default" w:ascii="Times New Roman" w:hAnsi="Times New Roman" w:eastAsia="宋体" w:cs="Times New Roman"/>
                <w:color w:val="000000" w:themeColor="text1"/>
                <w:sz w:val="26"/>
                <w:szCs w:val="26"/>
                <w:lang w:eastAsia="zh-CN"/>
                <w14:textFill>
                  <w14:solidFill>
                    <w14:schemeClr w14:val="tx1"/>
                  </w14:solidFill>
                </w14:textFill>
              </w:rPr>
              <w:t>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8</w:t>
            </w:r>
            <w:r>
              <w:rPr>
                <w:rFonts w:hint="default" w:ascii="Times New Roman" w:hAnsi="Times New Roman" w:eastAsia="宋体" w:cs="Times New Roman"/>
                <w:color w:val="000000" w:themeColor="text1"/>
                <w:sz w:val="26"/>
                <w:szCs w:val="26"/>
                <w:lang w:eastAsia="zh-CN"/>
                <w14:textFill>
                  <w14:solidFill>
                    <w14:schemeClr w14:val="tx1"/>
                  </w14:solidFill>
                </w14:textFill>
              </w:rPr>
              <w:t>月</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19</w:t>
            </w:r>
            <w:r>
              <w:rPr>
                <w:rFonts w:hint="default" w:ascii="Times New Roman" w:hAnsi="Times New Roman" w:eastAsia="宋体" w:cs="Times New Roman"/>
                <w:color w:val="000000" w:themeColor="text1"/>
                <w:sz w:val="26"/>
                <w:szCs w:val="26"/>
                <w:lang w:eastAsia="zh-CN"/>
                <w14:textFill>
                  <w14:solidFill>
                    <w14:schemeClr w14:val="tx1"/>
                  </w14:solidFill>
                </w14:textFill>
              </w:rPr>
              <w:t>日</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（3）竣工验收监测报告。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551" w:type="pct"/>
            <w:vAlign w:val="center"/>
          </w:tcPr>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验收监测评价标准、标号、级别、限值</w:t>
            </w:r>
          </w:p>
        </w:tc>
        <w:tc>
          <w:tcPr>
            <w:tcW w:w="4448" w:type="pct"/>
            <w:gridSpan w:val="6"/>
          </w:tcPr>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根据《建设项目竣工环境保护验收技术指南 污染影响类》中验收执行标准要求：建设项目竣工环境保护验收污染物排放标准原则上执行环境影响报告书（表）及其审批部门审批决定所规定的标准。在环境影响报告书（表）审批之后发布或修订的标准对建设项目执行该标准有明确时限要求的，按新发布或修订的标准执行。特别排放限值的实施地域范围、时间，按国务院生态环境主管部门或省级人民政府规定执行。</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建设项目排放环境影响报告书（表）及其审批部门审批决定中未包括的污染物，执行相应的现行标准。</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本项目环评表审批至今，未新发布或修订与项目相关的排放标准，因此本次验收排放标准与环评阶段执行标准一致，具体如下：</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1.4废水执行标准</w:t>
            </w:r>
          </w:p>
          <w:p>
            <w:pPr>
              <w:pStyle w:val="46"/>
              <w:keepNext w:val="0"/>
              <w:keepLines w:val="0"/>
              <w:pageBreakBefore w:val="0"/>
              <w:widowControl/>
              <w:kinsoku/>
              <w:wordWrap/>
              <w:overflowPunct/>
              <w:topLinePunct w:val="0"/>
              <w:autoSpaceDE/>
              <w:autoSpaceDN/>
              <w:bidi w:val="0"/>
              <w:spacing w:line="460" w:lineRule="exact"/>
              <w:ind w:left="0" w:leftChars="0"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eastAsia" w:cs="Times New Roman"/>
                <w:b w:val="0"/>
                <w:bCs w:val="0"/>
                <w:color w:val="000000" w:themeColor="text1"/>
                <w:sz w:val="26"/>
                <w:szCs w:val="26"/>
                <w:lang w:val="en-US" w:eastAsia="zh-CN"/>
                <w14:textFill>
                  <w14:solidFill>
                    <w14:schemeClr w14:val="tx1"/>
                  </w14:solidFill>
                </w14:textFill>
              </w:rPr>
              <w:t>（1）环评阶段执行标准</w:t>
            </w:r>
          </w:p>
          <w:p>
            <w:pPr>
              <w:pStyle w:val="46"/>
              <w:keepNext w:val="0"/>
              <w:keepLines w:val="0"/>
              <w:pageBreakBefore w:val="0"/>
              <w:widowControl/>
              <w:kinsoku/>
              <w:wordWrap/>
              <w:overflowPunct/>
              <w:topLinePunct w:val="0"/>
              <w:autoSpaceDE/>
              <w:autoSpaceDN/>
              <w:bidi w:val="0"/>
              <w:spacing w:line="460" w:lineRule="exact"/>
              <w:ind w:left="0" w:leftChars="0" w:firstLine="520" w:firstLineChars="200"/>
              <w:jc w:val="both"/>
              <w:textAlignment w:val="auto"/>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根据环评表及环评批复，</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本项目</w:t>
            </w:r>
            <w:r>
              <w:rPr>
                <w:rFonts w:hint="eastAsia" w:cs="Times New Roman"/>
                <w:b w:val="0"/>
                <w:bCs w:val="0"/>
                <w:color w:val="000000" w:themeColor="text1"/>
                <w:sz w:val="26"/>
                <w:szCs w:val="26"/>
                <w:lang w:val="en-US" w:eastAsia="zh-CN"/>
                <w14:textFill>
                  <w14:solidFill>
                    <w14:schemeClr w14:val="tx1"/>
                  </w14:solidFill>
                </w14:textFill>
              </w:rPr>
              <w:t>员工</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产生的生活污水依托金凤电子信息产业园生化池处理达《污水综合排放标准》（GB 8978-1996）三级标准后排入市政污水管网。生产废水经自建污水站处理达《电子工业水污染物排放标准》（GB 39731-2020）表1间接标准后排入市政管网。</w:t>
            </w:r>
          </w:p>
          <w:p>
            <w:pPr>
              <w:pStyle w:val="46"/>
              <w:keepNext w:val="0"/>
              <w:keepLines w:val="0"/>
              <w:pageBreakBefore w:val="0"/>
              <w:widowControl/>
              <w:kinsoku/>
              <w:wordWrap/>
              <w:overflowPunct/>
              <w:topLinePunct w:val="0"/>
              <w:autoSpaceDE/>
              <w:autoSpaceDN/>
              <w:bidi w:val="0"/>
              <w:spacing w:line="460" w:lineRule="exact"/>
              <w:ind w:left="0" w:leftChars="0" w:firstLine="520" w:firstLineChars="200"/>
              <w:jc w:val="both"/>
              <w:textAlignment w:val="auto"/>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cs="Times New Roman"/>
                <w:color w:val="000000"/>
                <w:sz w:val="26"/>
                <w:szCs w:val="26"/>
                <w:highlight w:val="none"/>
              </w:rPr>
              <w:t>生产废水</w:t>
            </w:r>
            <w:r>
              <w:rPr>
                <w:rFonts w:hint="eastAsia" w:ascii="Times New Roman" w:hAnsi="Times New Roman" w:cs="Times New Roman"/>
                <w:color w:val="000000"/>
                <w:sz w:val="26"/>
                <w:szCs w:val="26"/>
                <w:highlight w:val="none"/>
                <w:lang w:val="en-US" w:eastAsia="zh-CN"/>
              </w:rPr>
              <w:t>和生活污水再经西永</w:t>
            </w:r>
            <w:r>
              <w:rPr>
                <w:rFonts w:hint="default" w:ascii="Times New Roman" w:hAnsi="Times New Roman" w:cs="Times New Roman"/>
                <w:color w:val="000000"/>
                <w:sz w:val="26"/>
                <w:szCs w:val="26"/>
                <w:highlight w:val="none"/>
              </w:rPr>
              <w:t>污水处理厂处理达到《城镇污水处理厂污染物排放标准》（GB 18918-2002）一级A标准后排入</w:t>
            </w:r>
            <w:r>
              <w:rPr>
                <w:rFonts w:hint="eastAsia" w:ascii="Times New Roman" w:hAnsi="Times New Roman" w:cs="Times New Roman"/>
                <w:color w:val="000000"/>
                <w:sz w:val="26"/>
                <w:szCs w:val="26"/>
                <w:highlight w:val="none"/>
                <w:lang w:val="en-US" w:eastAsia="zh-CN"/>
              </w:rPr>
              <w:t>梁滩河</w:t>
            </w:r>
            <w:r>
              <w:rPr>
                <w:rFonts w:hint="default" w:ascii="Times New Roman" w:hAnsi="Times New Roman" w:cs="Times New Roman"/>
                <w:color w:val="000000"/>
                <w:sz w:val="26"/>
                <w:szCs w:val="26"/>
                <w:highlight w:val="none"/>
              </w:rPr>
              <w:t>，最终汇入</w:t>
            </w:r>
            <w:r>
              <w:rPr>
                <w:rFonts w:hint="eastAsia" w:ascii="Times New Roman" w:hAnsi="Times New Roman" w:cs="Times New Roman"/>
                <w:color w:val="000000"/>
                <w:sz w:val="26"/>
                <w:szCs w:val="26"/>
                <w:highlight w:val="none"/>
                <w:lang w:val="en-US" w:eastAsia="zh-CN"/>
              </w:rPr>
              <w:t>嘉陵江</w:t>
            </w:r>
            <w:r>
              <w:rPr>
                <w:rFonts w:hint="default" w:ascii="Times New Roman" w:hAnsi="Times New Roman" w:cs="Times New Roman"/>
                <w:color w:val="000000"/>
                <w:sz w:val="26"/>
                <w:szCs w:val="26"/>
                <w:highlight w:val="none"/>
              </w:rPr>
              <w:t>。</w:t>
            </w:r>
          </w:p>
          <w:p>
            <w:pPr>
              <w:pStyle w:val="46"/>
              <w:keepNext w:val="0"/>
              <w:keepLines w:val="0"/>
              <w:pageBreakBefore w:val="0"/>
              <w:widowControl/>
              <w:kinsoku/>
              <w:wordWrap/>
              <w:overflowPunct/>
              <w:topLinePunct w:val="0"/>
              <w:autoSpaceDE/>
              <w:autoSpaceDN/>
              <w:bidi w:val="0"/>
              <w:spacing w:line="460" w:lineRule="exact"/>
              <w:ind w:left="0" w:leftChars="0" w:firstLine="0" w:firstLineChars="0"/>
              <w:jc w:val="center"/>
              <w:textAlignment w:val="auto"/>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6"/>
                <w:szCs w:val="26"/>
                <w14:textFill>
                  <w14:solidFill>
                    <w14:schemeClr w14:val="tx1"/>
                  </w14:solidFill>
                </w14:textFill>
              </w:rPr>
              <w:t>表1</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.4-1</w:t>
            </w:r>
            <w:r>
              <w:rPr>
                <w:rFonts w:hint="default" w:ascii="Times New Roman" w:hAnsi="Times New Roman" w:eastAsia="宋体" w:cs="Times New Roman"/>
                <w:b w:val="0"/>
                <w:bCs w:val="0"/>
                <w:color w:val="000000" w:themeColor="text1"/>
                <w:sz w:val="26"/>
                <w:szCs w:val="26"/>
                <w14:textFill>
                  <w14:solidFill>
                    <w14:schemeClr w14:val="tx1"/>
                  </w14:solidFill>
                </w14:textFill>
              </w:rPr>
              <w:t xml:space="preserve"> </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6"/>
                <w:szCs w:val="26"/>
                <w14:textFill>
                  <w14:solidFill>
                    <w14:schemeClr w14:val="tx1"/>
                  </w14:solidFill>
                </w14:textFill>
              </w:rPr>
              <w:t>废水排放标准</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 xml:space="preserve">  单位：mg/L</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774"/>
              <w:gridCol w:w="2109"/>
              <w:gridCol w:w="1944"/>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序号</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项目</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lang w:val="en-US" w:eastAsia="zh-CN"/>
                    </w:rPr>
                    <w:t>GB 39731-2020表1</w:t>
                  </w:r>
                  <w:r>
                    <w:rPr>
                      <w:rFonts w:hint="default" w:ascii="Times New Roman" w:hAnsi="Times New Roman" w:eastAsia="宋体" w:cs="Times New Roman"/>
                      <w:color w:val="000000"/>
                      <w:sz w:val="22"/>
                      <w:szCs w:val="22"/>
                    </w:rPr>
                    <w:t>标准</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GB 8978-1996三级标准</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GB</w:t>
                  </w:r>
                  <w:r>
                    <w:rPr>
                      <w:rFonts w:hint="default" w:ascii="Times New Roman" w:hAnsi="Times New Roman" w:eastAsia="宋体" w:cs="Times New Roman"/>
                      <w:color w:val="000000"/>
                      <w:sz w:val="22"/>
                      <w:szCs w:val="22"/>
                      <w:lang w:val="en-US" w:eastAsia="zh-CN"/>
                    </w:rPr>
                    <w:t xml:space="preserve"> </w:t>
                  </w:r>
                  <w:r>
                    <w:rPr>
                      <w:rFonts w:hint="default" w:ascii="Times New Roman" w:hAnsi="Times New Roman" w:eastAsia="宋体" w:cs="Times New Roman"/>
                      <w:color w:val="000000"/>
                      <w:sz w:val="22"/>
                      <w:szCs w:val="22"/>
                    </w:rPr>
                    <w:t>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1</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pH</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6～9</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6～9</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2</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COD</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≤500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500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3</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SS</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≤400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≤400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4</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氨氮</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≤45</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≤45</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≤5（8）</w:t>
                  </w:r>
                  <w:r>
                    <w:rPr>
                      <w:rFonts w:hint="default" w:ascii="Times New Roman" w:hAnsi="Times New Roman" w:eastAsia="宋体" w:cs="Times New Roman"/>
                      <w:color w:val="000000"/>
                      <w:sz w:val="22"/>
                      <w:szCs w:val="22"/>
                      <w:vertAlign w:val="superscript"/>
                      <w:lang w:val="en-US" w:eastAsia="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5</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BOD</w:t>
                  </w:r>
                  <w:r>
                    <w:rPr>
                      <w:rFonts w:hint="default" w:ascii="Times New Roman" w:hAnsi="Times New Roman" w:eastAsia="宋体" w:cs="Times New Roman"/>
                      <w:color w:val="000000"/>
                      <w:sz w:val="22"/>
                      <w:szCs w:val="22"/>
                      <w:vertAlign w:val="subscript"/>
                    </w:rPr>
                    <w:t>5</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≤300</w:t>
                  </w:r>
                  <w:r>
                    <w:rPr>
                      <w:rFonts w:hint="default" w:ascii="Times New Roman" w:hAnsi="Times New Roman" w:eastAsia="宋体" w:cs="Times New Roman"/>
                      <w:color w:val="000000"/>
                      <w:sz w:val="22"/>
                      <w:szCs w:val="22"/>
                      <w:vertAlign w:val="superscript"/>
                      <w:lang w:val="en-US" w:eastAsia="zh-CN"/>
                    </w:rPr>
                    <w:t>②</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≤300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6</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石油类</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7</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氟化物</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10</w:t>
                  </w:r>
                  <w:r>
                    <w:rPr>
                      <w:rFonts w:hint="default" w:ascii="Times New Roman" w:hAnsi="Times New Roman" w:eastAsia="宋体" w:cs="Times New Roman"/>
                      <w:color w:val="000000"/>
                      <w:sz w:val="22"/>
                      <w:szCs w:val="22"/>
                      <w:vertAlign w:val="superscript"/>
                      <w:lang w:val="en-US" w:eastAsia="zh-CN"/>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8</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LAS</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9</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总铜</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2.0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11</w:t>
                  </w:r>
                </w:p>
              </w:tc>
              <w:tc>
                <w:tcPr>
                  <w:tcW w:w="52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总镍</w:t>
                  </w:r>
                </w:p>
              </w:tc>
              <w:tc>
                <w:tcPr>
                  <w:tcW w:w="143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0.5</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1.0</w:t>
                  </w:r>
                </w:p>
              </w:tc>
              <w:tc>
                <w:tcPr>
                  <w:tcW w:w="132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w:t>
                  </w:r>
                  <w:r>
                    <w:rPr>
                      <w:rFonts w:hint="default" w:ascii="Times New Roman" w:hAnsi="Times New Roman" w:eastAsia="宋体" w:cs="Times New Roman"/>
                      <w:color w:val="000000"/>
                      <w:sz w:val="22"/>
                      <w:szCs w:val="22"/>
                      <w:lang w:val="en-US" w:eastAsia="zh-CN"/>
                    </w:rPr>
                    <w:t>0.05</w:t>
                  </w:r>
                </w:p>
              </w:tc>
            </w:tr>
          </w:tbl>
          <w:p>
            <w:pPr>
              <w:pStyle w:val="46"/>
              <w:keepNext w:val="0"/>
              <w:keepLines w:val="0"/>
              <w:pageBreakBefore w:val="0"/>
              <w:widowControl/>
              <w:numPr>
                <w:ilvl w:val="0"/>
                <w:numId w:val="0"/>
              </w:numPr>
              <w:kinsoku/>
              <w:wordWrap/>
              <w:overflowPunct/>
              <w:topLinePunct w:val="0"/>
              <w:autoSpaceDE/>
              <w:autoSpaceDN/>
              <w:bidi w:val="0"/>
              <w:spacing w:line="460" w:lineRule="exact"/>
              <w:ind w:firstLine="520" w:firstLineChars="200"/>
              <w:textAlignment w:val="auto"/>
              <w:rPr>
                <w:rFonts w:hint="eastAsia" w:cs="Times New Roman"/>
                <w:b w:val="0"/>
                <w:bCs w:val="0"/>
                <w:color w:val="000000" w:themeColor="text1"/>
                <w:sz w:val="26"/>
                <w:szCs w:val="26"/>
                <w:lang w:val="en-US" w:eastAsia="zh-CN"/>
                <w14:textFill>
                  <w14:solidFill>
                    <w14:schemeClr w14:val="tx1"/>
                  </w14:solidFill>
                </w14:textFill>
              </w:rPr>
            </w:pPr>
            <w:r>
              <w:rPr>
                <w:rFonts w:hint="eastAsia" w:cs="Times New Roman"/>
                <w:b w:val="0"/>
                <w:bCs w:val="0"/>
                <w:color w:val="000000" w:themeColor="text1"/>
                <w:sz w:val="26"/>
                <w:szCs w:val="26"/>
                <w:lang w:val="en-US" w:eastAsia="zh-CN"/>
                <w14:textFill>
                  <w14:solidFill>
                    <w14:schemeClr w14:val="tx1"/>
                  </w14:solidFill>
                </w14:textFill>
              </w:rPr>
              <w:t>（2）验收阶段执行标准</w:t>
            </w:r>
          </w:p>
          <w:p>
            <w:pPr>
              <w:pStyle w:val="46"/>
              <w:keepNext w:val="0"/>
              <w:keepLines w:val="0"/>
              <w:pageBreakBefore w:val="0"/>
              <w:widowControl/>
              <w:numPr>
                <w:ilvl w:val="0"/>
                <w:numId w:val="0"/>
              </w:numPr>
              <w:kinsoku/>
              <w:wordWrap/>
              <w:overflowPunct/>
              <w:topLinePunct w:val="0"/>
              <w:autoSpaceDE/>
              <w:autoSpaceDN/>
              <w:bidi w:val="0"/>
              <w:spacing w:line="460" w:lineRule="exact"/>
              <w:ind w:firstLine="520" w:firstLineChars="200"/>
              <w:textAlignment w:val="auto"/>
              <w:rPr>
                <w:rFonts w:hint="default" w:cs="Times New Roman"/>
                <w:b w:val="0"/>
                <w:bCs w:val="0"/>
                <w:color w:val="000000" w:themeColor="text1"/>
                <w:sz w:val="26"/>
                <w:szCs w:val="26"/>
                <w:lang w:val="en-US" w:eastAsia="zh-CN"/>
                <w14:textFill>
                  <w14:solidFill>
                    <w14:schemeClr w14:val="tx1"/>
                  </w14:solidFill>
                </w14:textFill>
              </w:rPr>
            </w:pPr>
            <w:r>
              <w:rPr>
                <w:rFonts w:hint="eastAsia" w:cs="Times New Roman"/>
                <w:b w:val="0"/>
                <w:bCs w:val="0"/>
                <w:color w:val="000000" w:themeColor="text1"/>
                <w:sz w:val="26"/>
                <w:szCs w:val="26"/>
                <w:lang w:val="en-US" w:eastAsia="zh-CN"/>
                <w14:textFill>
                  <w14:solidFill>
                    <w14:schemeClr w14:val="tx1"/>
                  </w14:solidFill>
                </w14:textFill>
              </w:rPr>
              <w:t>项目环评批复之后执行标准未发布或修订的标准，验收阶段执行标准与环评一致。</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1.5废气执行标准</w:t>
            </w:r>
          </w:p>
          <w:p>
            <w:pPr>
              <w:pStyle w:val="46"/>
              <w:keepNext w:val="0"/>
              <w:keepLines w:val="0"/>
              <w:pageBreakBefore w:val="0"/>
              <w:widowControl/>
              <w:tabs>
                <w:tab w:val="left" w:pos="352"/>
              </w:tabs>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eastAsia" w:cs="Times New Roman"/>
                <w:b w:val="0"/>
                <w:bCs w:val="0"/>
                <w:color w:val="000000" w:themeColor="text1"/>
                <w:sz w:val="26"/>
                <w:szCs w:val="26"/>
                <w:lang w:val="en-US" w:eastAsia="zh-CN"/>
                <w14:textFill>
                  <w14:solidFill>
                    <w14:schemeClr w14:val="tx1"/>
                  </w14:solidFill>
                </w14:textFill>
              </w:rPr>
              <w:t>（1）环评阶段执行标准</w:t>
            </w:r>
          </w:p>
          <w:p>
            <w:pPr>
              <w:pStyle w:val="46"/>
              <w:keepNext w:val="0"/>
              <w:keepLines w:val="0"/>
              <w:pageBreakBefore w:val="0"/>
              <w:widowControl/>
              <w:tabs>
                <w:tab w:val="left" w:pos="352"/>
              </w:tabs>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本项目</w:t>
            </w:r>
            <w:r>
              <w:rPr>
                <w:rFonts w:hint="eastAsia" w:ascii="Times New Roman" w:hAnsi="Times New Roman" w:cs="Times New Roman"/>
                <w:color w:val="000000"/>
                <w:sz w:val="26"/>
                <w:szCs w:val="26"/>
                <w:lang w:val="en-US" w:eastAsia="zh-CN"/>
              </w:rPr>
              <w:t>废气</w:t>
            </w:r>
            <w:r>
              <w:rPr>
                <w:rFonts w:hint="default" w:ascii="Times New Roman" w:hAnsi="Times New Roman" w:cs="Times New Roman"/>
                <w:color w:val="000000"/>
                <w:sz w:val="26"/>
                <w:szCs w:val="26"/>
              </w:rPr>
              <w:t>执行</w:t>
            </w:r>
            <w:r>
              <w:rPr>
                <w:rFonts w:ascii="Times New Roman" w:hAnsi="Times New Roman" w:cs="Times New Roman"/>
                <w:color w:val="000000"/>
                <w:sz w:val="26"/>
                <w:szCs w:val="26"/>
              </w:rPr>
              <w:t>重庆市地方标准《大气污染物综合排放标准》（DB50/418-2016）中的标准要求</w:t>
            </w:r>
            <w:r>
              <w:rPr>
                <w:rFonts w:hint="eastAsia" w:cs="Times New Roman"/>
                <w:color w:val="000000"/>
                <w:sz w:val="26"/>
                <w:szCs w:val="26"/>
                <w:lang w:eastAsia="zh-CN"/>
              </w:rPr>
              <w:t>，</w:t>
            </w:r>
            <w:r>
              <w:rPr>
                <w:rFonts w:hint="default" w:ascii="Times New Roman" w:hAnsi="Times New Roman" w:eastAsia="宋体" w:cs="Times New Roman"/>
                <w:b w:val="0"/>
                <w:bCs w:val="0"/>
                <w:color w:val="000000" w:themeColor="text1"/>
                <w:sz w:val="26"/>
                <w:szCs w:val="26"/>
                <w14:textFill>
                  <w14:solidFill>
                    <w14:schemeClr w14:val="tx1"/>
                  </w14:solidFill>
                </w14:textFill>
              </w:rPr>
              <w:t>具体见</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下</w:t>
            </w:r>
            <w:r>
              <w:rPr>
                <w:rFonts w:hint="default" w:ascii="Times New Roman" w:hAnsi="Times New Roman" w:eastAsia="宋体" w:cs="Times New Roman"/>
                <w:b w:val="0"/>
                <w:bCs w:val="0"/>
                <w:color w:val="000000" w:themeColor="text1"/>
                <w:sz w:val="26"/>
                <w:szCs w:val="26"/>
                <w14:textFill>
                  <w14:solidFill>
                    <w14:schemeClr w14:val="tx1"/>
                  </w14:solidFill>
                </w14:textFill>
              </w:rPr>
              <w:t>表。</w:t>
            </w:r>
          </w:p>
          <w:p>
            <w:pPr>
              <w:pStyle w:val="46"/>
              <w:keepNext w:val="0"/>
              <w:keepLines w:val="0"/>
              <w:pageBreakBefore w:val="0"/>
              <w:widowControl/>
              <w:tabs>
                <w:tab w:val="left" w:pos="352"/>
              </w:tabs>
              <w:kinsoku/>
              <w:wordWrap/>
              <w:overflowPunct/>
              <w:topLinePunct w:val="0"/>
              <w:autoSpaceDE/>
              <w:autoSpaceDN/>
              <w:bidi w:val="0"/>
              <w:adjustRightInd/>
              <w:snapToGrid/>
              <w:spacing w:line="460" w:lineRule="exact"/>
              <w:ind w:left="0" w:leftChars="0" w:firstLine="0" w:firstLineChars="0"/>
              <w:jc w:val="center"/>
              <w:textAlignment w:val="auto"/>
              <w:rPr>
                <w:rFonts w:hint="default" w:ascii="Times New Roman" w:hAnsi="Times New Roman" w:eastAsia="宋体" w:cs="Times New Roman"/>
                <w:b w:val="0"/>
                <w:bCs w:val="0"/>
                <w:color w:val="000000" w:themeColor="text1"/>
                <w:sz w:val="26"/>
                <w:szCs w:val="26"/>
                <w:lang w:val="en-US"/>
                <w14:textFill>
                  <w14:solidFill>
                    <w14:schemeClr w14:val="tx1"/>
                  </w14:solidFill>
                </w14:textFill>
              </w:rPr>
            </w:pPr>
            <w:r>
              <w:rPr>
                <w:rFonts w:hint="default" w:ascii="Times New Roman" w:hAnsi="Times New Roman" w:eastAsia="宋体" w:cs="Times New Roman"/>
                <w:b w:val="0"/>
                <w:bCs w:val="0"/>
                <w:color w:val="000000" w:themeColor="text1"/>
                <w:sz w:val="26"/>
                <w:szCs w:val="26"/>
                <w14:textFill>
                  <w14:solidFill>
                    <w14:schemeClr w14:val="tx1"/>
                  </w14:solidFill>
                </w14:textFill>
              </w:rPr>
              <w:t>表</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 xml:space="preserve">1.5-1 </w:t>
            </w:r>
            <w:r>
              <w:rPr>
                <w:rFonts w:hint="eastAsia" w:cs="Times New Roman"/>
                <w:b w:val="0"/>
                <w:bCs w:val="0"/>
                <w:color w:val="000000" w:themeColor="text1"/>
                <w:sz w:val="26"/>
                <w:szCs w:val="26"/>
                <w:lang w:val="en-US" w:eastAsia="zh-CN"/>
                <w14:textFill>
                  <w14:solidFill>
                    <w14:schemeClr w14:val="tx1"/>
                  </w14:solidFill>
                </w14:textFill>
              </w:rPr>
              <w:t xml:space="preserve"> 废气排放标准</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574"/>
              <w:gridCol w:w="1489"/>
              <w:gridCol w:w="149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污染物</w:t>
                  </w:r>
                </w:p>
              </w:tc>
              <w:tc>
                <w:tcPr>
                  <w:tcW w:w="107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最高允许排放浓度（mg/m</w:t>
                  </w:r>
                  <w:r>
                    <w:rPr>
                      <w:rFonts w:hint="default" w:ascii="Times New Roman" w:hAnsi="Times New Roman" w:eastAsia="宋体" w:cs="Times New Roman"/>
                      <w:color w:val="000000"/>
                      <w:sz w:val="22"/>
                      <w:szCs w:val="22"/>
                      <w:vertAlign w:val="superscript"/>
                      <w:lang w:val="en-US" w:eastAsia="zh-CN"/>
                    </w:rPr>
                    <w:t>3</w:t>
                  </w:r>
                  <w:r>
                    <w:rPr>
                      <w:rFonts w:hint="default" w:ascii="Times New Roman" w:hAnsi="Times New Roman" w:eastAsia="宋体" w:cs="Times New Roman"/>
                      <w:color w:val="000000"/>
                      <w:sz w:val="22"/>
                      <w:szCs w:val="22"/>
                      <w:lang w:val="en-US" w:eastAsia="zh-CN"/>
                    </w:rPr>
                    <w:t>）</w:t>
                  </w:r>
                </w:p>
              </w:tc>
              <w:tc>
                <w:tcPr>
                  <w:tcW w:w="202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最高允许排放速率（kg/h）</w:t>
                  </w:r>
                </w:p>
              </w:tc>
              <w:tc>
                <w:tcPr>
                  <w:tcW w:w="101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无组织排放监控浓度限值（mg/m</w:t>
                  </w:r>
                  <w:r>
                    <w:rPr>
                      <w:rFonts w:hint="default" w:ascii="Times New Roman" w:hAnsi="Times New Roman" w:eastAsia="宋体" w:cs="Times New Roman"/>
                      <w:color w:val="000000"/>
                      <w:sz w:val="22"/>
                      <w:szCs w:val="22"/>
                      <w:vertAlign w:val="superscript"/>
                      <w:lang w:val="en-US" w:eastAsia="zh-CN"/>
                    </w:rPr>
                    <w:t>3</w:t>
                  </w:r>
                  <w:r>
                    <w:rPr>
                      <w:rFonts w:hint="default" w:ascii="Times New Roman" w:hAnsi="Times New Roman" w:eastAsia="宋体" w:cs="Times New Roman"/>
                      <w:color w:val="000000"/>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p>
              </w:tc>
              <w:tc>
                <w:tcPr>
                  <w:tcW w:w="107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排气筒高度m</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速率（kg/h）</w:t>
                  </w:r>
                </w:p>
              </w:tc>
              <w:tc>
                <w:tcPr>
                  <w:tcW w:w="101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氮氧化物</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200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0.3</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氯化氢</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100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0.26</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硫酸雾</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45</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氟化物</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9</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0.1</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颗粒物</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50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0.8</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非甲烷总烃</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120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10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二氧化硫</w:t>
                  </w:r>
                </w:p>
              </w:tc>
              <w:tc>
                <w:tcPr>
                  <w:tcW w:w="10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200</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15</w:t>
                  </w:r>
                </w:p>
              </w:tc>
              <w:tc>
                <w:tcPr>
                  <w:tcW w:w="10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0.7</w:t>
                  </w:r>
                </w:p>
              </w:tc>
              <w:tc>
                <w:tcPr>
                  <w:tcW w:w="10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0.40</w:t>
                  </w:r>
                </w:p>
              </w:tc>
            </w:tr>
          </w:tbl>
          <w:p>
            <w:pPr>
              <w:keepNext w:val="0"/>
              <w:keepLines w:val="0"/>
              <w:pageBreakBefore w:val="0"/>
              <w:widowControl/>
              <w:kinsoku/>
              <w:wordWrap/>
              <w:overflowPunct/>
              <w:topLinePunct w:val="0"/>
              <w:autoSpaceDE/>
              <w:autoSpaceDN/>
              <w:bidi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（2）验收阶段执行标准</w:t>
            </w:r>
          </w:p>
          <w:p>
            <w:pPr>
              <w:keepNext w:val="0"/>
              <w:keepLines w:val="0"/>
              <w:pageBreakBefore w:val="0"/>
              <w:widowControl/>
              <w:kinsoku/>
              <w:wordWrap/>
              <w:overflowPunct/>
              <w:topLinePunct w:val="0"/>
              <w:autoSpaceDE/>
              <w:autoSpaceDN/>
              <w:bidi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项目环评批复之后执行标准未发布或修订的标准，验收阶段执行标准与环评一致。</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1.6噪声执行标准</w:t>
            </w:r>
          </w:p>
          <w:p>
            <w:pPr>
              <w:pStyle w:val="46"/>
              <w:keepNext w:val="0"/>
              <w:keepLines w:val="0"/>
              <w:pageBreakBefore w:val="0"/>
              <w:widowControl/>
              <w:tabs>
                <w:tab w:val="left" w:pos="352"/>
              </w:tabs>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eastAsia" w:cs="Times New Roman"/>
                <w:b w:val="0"/>
                <w:bCs w:val="0"/>
                <w:color w:val="000000" w:themeColor="text1"/>
                <w:sz w:val="26"/>
                <w:szCs w:val="26"/>
                <w:lang w:val="en-US" w:eastAsia="zh-CN"/>
                <w14:textFill>
                  <w14:solidFill>
                    <w14:schemeClr w14:val="tx1"/>
                  </w14:solidFill>
                </w14:textFill>
              </w:rPr>
              <w:t>（1）环评阶段执行标准</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根据环评表及环评批复，项目噪声执行《工业企业厂界环境噪声排放标准》（GB12348-2008）3类标准，具体见下表。</w:t>
            </w:r>
          </w:p>
          <w:p>
            <w:pPr>
              <w:keepNext w:val="0"/>
              <w:keepLines w:val="0"/>
              <w:pageBreakBefore w:val="0"/>
              <w:widowControl/>
              <w:kinsoku/>
              <w:wordWrap/>
              <w:overflowPunct/>
              <w:topLinePunct w:val="0"/>
              <w:autoSpaceDE/>
              <w:autoSpaceDN/>
              <w:bidi w:val="0"/>
              <w:spacing w:after="0" w:line="460" w:lineRule="exact"/>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表1.6-1   工业企业厂界环境噪声排放标准  单位：dB（A）</w:t>
            </w:r>
          </w:p>
          <w:tbl>
            <w:tblPr>
              <w:tblStyle w:val="13"/>
              <w:tblW w:w="5000" w:type="pct"/>
              <w:jc w:val="center"/>
              <w:tblLayout w:type="fixed"/>
              <w:tblCellMar>
                <w:top w:w="0" w:type="dxa"/>
                <w:left w:w="108" w:type="dxa"/>
                <w:bottom w:w="0" w:type="dxa"/>
                <w:right w:w="108" w:type="dxa"/>
              </w:tblCellMar>
            </w:tblPr>
            <w:tblGrid>
              <w:gridCol w:w="2251"/>
              <w:gridCol w:w="2539"/>
              <w:gridCol w:w="2574"/>
            </w:tblGrid>
            <w:tr>
              <w:tblPrEx>
                <w:tblCellMar>
                  <w:top w:w="0" w:type="dxa"/>
                  <w:left w:w="108" w:type="dxa"/>
                  <w:bottom w:w="0" w:type="dxa"/>
                  <w:right w:w="108" w:type="dxa"/>
                </w:tblCellMar>
              </w:tblPrEx>
              <w:trPr>
                <w:trHeight w:val="20" w:hRule="atLeast"/>
                <w:jc w:val="center"/>
              </w:trPr>
              <w:tc>
                <w:tcPr>
                  <w:tcW w:w="1529" w:type="pct"/>
                  <w:vMerge w:val="restart"/>
                  <w:tcBorders>
                    <w:top w:val="single" w:color="000000" w:sz="6" w:space="0"/>
                    <w:left w:val="single" w:color="000000" w:sz="6" w:space="0"/>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声环境功能区类别</w:t>
                  </w:r>
                </w:p>
              </w:tc>
              <w:tc>
                <w:tcPr>
                  <w:tcW w:w="3471" w:type="pct"/>
                  <w:gridSpan w:val="2"/>
                  <w:tcBorders>
                    <w:top w:val="single" w:color="000000" w:sz="6" w:space="0"/>
                    <w:left w:val="nil"/>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标准限值</w:t>
                  </w:r>
                </w:p>
              </w:tc>
            </w:tr>
            <w:tr>
              <w:tblPrEx>
                <w:tblCellMar>
                  <w:top w:w="0" w:type="dxa"/>
                  <w:left w:w="108" w:type="dxa"/>
                  <w:bottom w:w="0" w:type="dxa"/>
                  <w:right w:w="108" w:type="dxa"/>
                </w:tblCellMar>
              </w:tblPrEx>
              <w:trPr>
                <w:trHeight w:val="20" w:hRule="atLeast"/>
                <w:jc w:val="center"/>
              </w:trPr>
              <w:tc>
                <w:tcPr>
                  <w:tcW w:w="1529" w:type="pct"/>
                  <w:vMerge w:val="continue"/>
                  <w:tcBorders>
                    <w:top w:val="single" w:color="000000" w:sz="6" w:space="0"/>
                    <w:left w:val="single" w:color="000000" w:sz="6" w:space="0"/>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p>
              </w:tc>
              <w:tc>
                <w:tcPr>
                  <w:tcW w:w="1724" w:type="pct"/>
                  <w:tcBorders>
                    <w:top w:val="single" w:color="000000" w:sz="6" w:space="0"/>
                    <w:left w:val="nil"/>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昼间</w:t>
                  </w:r>
                </w:p>
              </w:tc>
              <w:tc>
                <w:tcPr>
                  <w:tcW w:w="1747" w:type="pct"/>
                  <w:tcBorders>
                    <w:top w:val="single" w:color="000000" w:sz="6" w:space="0"/>
                    <w:left w:val="nil"/>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夜间</w:t>
                  </w:r>
                </w:p>
              </w:tc>
            </w:tr>
            <w:tr>
              <w:tblPrEx>
                <w:tblCellMar>
                  <w:top w:w="0" w:type="dxa"/>
                  <w:left w:w="108" w:type="dxa"/>
                  <w:bottom w:w="0" w:type="dxa"/>
                  <w:right w:w="108" w:type="dxa"/>
                </w:tblCellMar>
              </w:tblPrEx>
              <w:trPr>
                <w:trHeight w:val="20" w:hRule="atLeast"/>
                <w:jc w:val="center"/>
              </w:trPr>
              <w:tc>
                <w:tcPr>
                  <w:tcW w:w="1529" w:type="pct"/>
                  <w:tcBorders>
                    <w:top w:val="single" w:color="000000" w:sz="6" w:space="0"/>
                    <w:left w:val="single" w:color="000000" w:sz="6" w:space="0"/>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3类</w:t>
                  </w:r>
                </w:p>
              </w:tc>
              <w:tc>
                <w:tcPr>
                  <w:tcW w:w="1724" w:type="pct"/>
                  <w:tcBorders>
                    <w:top w:val="single" w:color="000000" w:sz="6" w:space="0"/>
                    <w:left w:val="nil"/>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65</w:t>
                  </w:r>
                </w:p>
              </w:tc>
              <w:tc>
                <w:tcPr>
                  <w:tcW w:w="1747" w:type="pct"/>
                  <w:tcBorders>
                    <w:top w:val="single" w:color="000000" w:sz="6" w:space="0"/>
                    <w:left w:val="nil"/>
                    <w:bottom w:val="single" w:color="000000" w:sz="6" w:space="0"/>
                    <w:right w:val="single" w:color="000000" w:sz="6" w:space="0"/>
                  </w:tcBorders>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55</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（2）验收阶段执行标准</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项目环评批复之后执行标准未发布或修订的标准，验收阶段执行标准与环评一致。</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1.7固体废物执行标准</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（1）环评阶段执行标准</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根据环评表及环评批复，</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项目产生一般工业固废</w:t>
            </w:r>
            <w:r>
              <w:rPr>
                <w:rFonts w:hint="default" w:ascii="Times New Roman" w:hAnsi="Times New Roman" w:eastAsia="宋体" w:cs="Times New Roman"/>
                <w:bCs/>
                <w:color w:val="000000" w:themeColor="text1"/>
                <w:sz w:val="26"/>
                <w:szCs w:val="26"/>
                <w14:textFill>
                  <w14:solidFill>
                    <w14:schemeClr w14:val="tx1"/>
                  </w14:solidFill>
                </w14:textFill>
              </w:rPr>
              <w:t>执行《一般工业固体废物贮存</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和填埋</w:t>
            </w:r>
            <w:r>
              <w:rPr>
                <w:rFonts w:hint="default" w:ascii="Times New Roman" w:hAnsi="Times New Roman" w:eastAsia="宋体" w:cs="Times New Roman"/>
                <w:bCs/>
                <w:color w:val="000000" w:themeColor="text1"/>
                <w:sz w:val="26"/>
                <w:szCs w:val="26"/>
                <w14:textFill>
                  <w14:solidFill>
                    <w14:schemeClr w14:val="tx1"/>
                  </w14:solidFill>
                </w14:textFill>
              </w:rPr>
              <w:t>污染控制标准》（GB18599-</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2020</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危险废物执行《危险废物贮存污染控制标准》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GB 18597-2001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及2013年修改单</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公告2013年第36号</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（2）验收阶段执行标准</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t>项目环评批复之后</w:t>
            </w:r>
            <w:r>
              <w:rPr>
                <w:rFonts w:hint="eastAsia" w:ascii="Times New Roman" w:hAnsi="Times New Roman" w:eastAsia="宋体" w:cs="Times New Roman"/>
                <w:b w:val="0"/>
                <w:bCs/>
                <w:color w:val="000000" w:themeColor="text1"/>
                <w:sz w:val="26"/>
                <w:szCs w:val="26"/>
                <w:lang w:val="en-US" w:eastAsia="zh-CN"/>
                <w14:textFill>
                  <w14:solidFill>
                    <w14:schemeClr w14:val="tx1"/>
                  </w14:solidFill>
                </w14:textFill>
              </w:rPr>
              <w:t>，新颁布了</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《危险废物贮存污染控制标准》(GB 18597-20</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，危险废物将执行</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《危险废物贮存污染控制标准》(GB 18597-20</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p>
          <w:p>
            <w:pPr>
              <w:spacing w:after="0" w:line="460" w:lineRule="atLeast"/>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spacing w:after="0" w:line="460" w:lineRule="atLeast"/>
              <w:rPr>
                <w:rFonts w:hint="default" w:ascii="Times New Roman" w:hAnsi="Times New Roman" w:eastAsia="宋体" w:cs="Times New Roman"/>
                <w:color w:val="000000" w:themeColor="text1"/>
                <w:sz w:val="24"/>
                <w:szCs w:val="24"/>
                <w14:textFill>
                  <w14:solidFill>
                    <w14:schemeClr w14:val="tx1"/>
                  </w14:solidFill>
                </w14:textFill>
              </w:rPr>
            </w:pPr>
          </w:p>
        </w:tc>
      </w:tr>
    </w:tbl>
    <w:p>
      <w:pPr>
        <w:pStyle w:val="37"/>
        <w:ind w:right="-286"/>
        <w:jc w:val="left"/>
        <w:rPr>
          <w:rFonts w:hint="default" w:ascii="Times New Roman" w:hAnsi="Times New Roman" w:eastAsia="宋体" w:cs="Times New Roman"/>
          <w:b w:val="0"/>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表二</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5" w:hRule="atLeast"/>
          <w:jc w:val="center"/>
        </w:trPr>
        <w:tc>
          <w:tcPr>
            <w:tcW w:w="5000" w:type="pct"/>
          </w:tcPr>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工程建设内容：</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2.1地理位置及平面布置</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2.1.1地理位置</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项目位于</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重庆高新区重庆金凤电子信息产业有限公司二期标准厂房10号楼</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实际</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建设地点与环评一致。详见附图1</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2.1.2外环境关系及主要环境保护目标</w:t>
            </w:r>
          </w:p>
          <w:p>
            <w:pPr>
              <w:pStyle w:val="46"/>
              <w:keepNext w:val="0"/>
              <w:keepLines w:val="0"/>
              <w:pageBreakBefore w:val="0"/>
              <w:widowControl/>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本项目位于</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重庆高新区重庆金凤电子信息产业有限公司二期标准厂房10号楼</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，项目区域及周边不涉及自然保护区、风景名胜区、文物保护单位等特殊敏感区域。周边外环境关系和环境保护目标均与环评一致，未发</w:t>
            </w:r>
            <w:r>
              <w:rPr>
                <w:rFonts w:hint="eastAsia" w:cs="Times New Roman"/>
                <w:b w:val="0"/>
                <w:bCs w:val="0"/>
                <w:color w:val="000000" w:themeColor="text1"/>
                <w:sz w:val="26"/>
                <w:szCs w:val="26"/>
                <w:lang w:val="en-US" w:eastAsia="zh-CN"/>
                <w14:textFill>
                  <w14:solidFill>
                    <w14:schemeClr w14:val="tx1"/>
                  </w14:solidFill>
                </w14:textFill>
              </w:rPr>
              <w:t>生</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变化。</w:t>
            </w:r>
          </w:p>
          <w:p>
            <w:pPr>
              <w:pStyle w:val="46"/>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bCs/>
                <w:color w:val="000000" w:themeColor="text1"/>
                <w:sz w:val="26"/>
                <w:szCs w:val="26"/>
                <w:lang w:val="en-US" w:eastAsia="zh-CN"/>
                <w14:textFill>
                  <w14:solidFill>
                    <w14:schemeClr w14:val="tx1"/>
                  </w14:solidFill>
                </w14:textFill>
              </w:rPr>
              <w:t>表2.1-1  外环境关系一览表</w:t>
            </w:r>
          </w:p>
          <w:tbl>
            <w:tblPr>
              <w:tblStyle w:val="13"/>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906"/>
              <w:gridCol w:w="3155"/>
              <w:gridCol w:w="745"/>
              <w:gridCol w:w="1021"/>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序号</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单位名称</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位置</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距厂界最近距离</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1</w:t>
                  </w:r>
                </w:p>
              </w:tc>
              <w:tc>
                <w:tcPr>
                  <w:tcW w:w="54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6栋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重庆利迈陶瓷有限公司</w:t>
                  </w:r>
                </w:p>
              </w:tc>
              <w:tc>
                <w:tcPr>
                  <w:tcW w:w="44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NE</w:t>
                  </w:r>
                </w:p>
              </w:tc>
              <w:tc>
                <w:tcPr>
                  <w:tcW w:w="6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50m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重庆键合科技有限公司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3</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重庆润电科技有限公司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重庆金康特智能穿戴技术研究院有限公司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w:t>
                  </w:r>
                </w:p>
              </w:tc>
              <w:tc>
                <w:tcPr>
                  <w:tcW w:w="5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7栋</w:t>
                  </w: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重庆林氏达科技有限公司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E</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25m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6</w:t>
                  </w:r>
                </w:p>
              </w:tc>
              <w:tc>
                <w:tcPr>
                  <w:tcW w:w="5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8栋</w:t>
                  </w: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重庆墨希科技有限公司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SE</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80m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7</w:t>
                  </w:r>
                </w:p>
              </w:tc>
              <w:tc>
                <w:tcPr>
                  <w:tcW w:w="54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9栋</w:t>
                  </w: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重庆特山精密电子有限公司</w:t>
                  </w:r>
                </w:p>
              </w:tc>
              <w:tc>
                <w:tcPr>
                  <w:tcW w:w="44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N</w:t>
                  </w:r>
                </w:p>
              </w:tc>
              <w:tc>
                <w:tcPr>
                  <w:tcW w:w="61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3</w:t>
                  </w:r>
                  <w:r>
                    <w:rPr>
                      <w:rFonts w:hint="default" w:ascii="Times New Roman" w:hAnsi="Times New Roman" w:eastAsia="宋体" w:cs="Times New Roman"/>
                      <w:color w:val="000000"/>
                      <w:sz w:val="22"/>
                      <w:szCs w:val="22"/>
                    </w:rPr>
                    <w:t>5m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8</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重庆拒醇科技有限公司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9</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泓辉电子（重庆）有限公司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10</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重庆腾毅兴精密电子有限公司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11</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重庆笨瓜科技有限公司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12</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重庆鼎润医疗器械有限责任公司</w:t>
                  </w:r>
                </w:p>
              </w:tc>
              <w:tc>
                <w:tcPr>
                  <w:tcW w:w="44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61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13</w:t>
                  </w:r>
                </w:p>
              </w:tc>
              <w:tc>
                <w:tcPr>
                  <w:tcW w:w="54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10栋</w:t>
                  </w: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重庆</w:t>
                  </w:r>
                  <w:r>
                    <w:rPr>
                      <w:rFonts w:hint="eastAsia" w:ascii="Times New Roman" w:hAnsi="Times New Roman" w:eastAsia="宋体" w:cs="Times New Roman"/>
                      <w:color w:val="000000"/>
                      <w:sz w:val="22"/>
                      <w:szCs w:val="22"/>
                      <w:lang w:val="en-US" w:eastAsia="zh-CN"/>
                    </w:rPr>
                    <w:t>斯坦德检测技术有限公司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1楼</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14</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莱斯康电子（重庆）有限公司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2楼</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15</w:t>
                  </w:r>
                </w:p>
              </w:tc>
              <w:tc>
                <w:tcPr>
                  <w:tcW w:w="54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重庆信合启越科技有限公司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4楼</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16</w:t>
                  </w:r>
                </w:p>
              </w:tc>
              <w:tc>
                <w:tcPr>
                  <w:tcW w:w="5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标准厂房</w:t>
                  </w:r>
                  <w:r>
                    <w:rPr>
                      <w:rFonts w:hint="eastAsia" w:ascii="Times New Roman" w:hAnsi="Times New Roman" w:eastAsia="宋体" w:cs="Times New Roman"/>
                      <w:color w:val="000000"/>
                      <w:sz w:val="22"/>
                      <w:szCs w:val="22"/>
                      <w:lang w:val="en-US" w:eastAsia="zh-CN"/>
                    </w:rPr>
                    <w:t>11栋</w:t>
                  </w:r>
                </w:p>
              </w:tc>
              <w:tc>
                <w:tcPr>
                  <w:tcW w:w="19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重庆华锐天雅科技有限公司</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S</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50m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17</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金凤电子信息产业园一期厂房</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W</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50m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18</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凤笙路</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N</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150</w:t>
                  </w:r>
                  <w:r>
                    <w:rPr>
                      <w:rFonts w:hint="default" w:ascii="Times New Roman" w:hAnsi="Times New Roman" w:eastAsia="宋体" w:cs="Times New Roman"/>
                      <w:color w:val="000000"/>
                      <w:sz w:val="22"/>
                      <w:szCs w:val="22"/>
                    </w:rPr>
                    <w:t>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19</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金节路</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2"/>
                      <w:szCs w:val="22"/>
                      <w:lang w:eastAsia="zh-CN"/>
                    </w:rPr>
                  </w:pPr>
                  <w:r>
                    <w:rPr>
                      <w:rFonts w:hint="eastAsia" w:ascii="Times New Roman" w:hAnsi="Times New Roman" w:eastAsia="宋体" w:cs="Times New Roman"/>
                      <w:color w:val="000000"/>
                      <w:sz w:val="22"/>
                      <w:szCs w:val="22"/>
                      <w:lang w:val="en-US" w:eastAsia="zh-CN"/>
                    </w:rPr>
                    <w:t>E</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210</w:t>
                  </w:r>
                  <w:r>
                    <w:rPr>
                      <w:rFonts w:hint="default" w:ascii="Times New Roman" w:hAnsi="Times New Roman" w:eastAsia="宋体" w:cs="Times New Roman"/>
                      <w:color w:val="000000"/>
                      <w:sz w:val="22"/>
                      <w:szCs w:val="22"/>
                    </w:rPr>
                    <w:t>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20</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凤德路</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S</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175m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rPr>
                  </w:pPr>
                  <w:r>
                    <w:rPr>
                      <w:rFonts w:hint="eastAsia" w:ascii="Times New Roman" w:hAnsi="Times New Roman" w:eastAsia="宋体" w:cs="Times New Roman"/>
                      <w:color w:val="000000"/>
                      <w:sz w:val="22"/>
                      <w:szCs w:val="22"/>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21</w:t>
                  </w:r>
                </w:p>
              </w:tc>
              <w:tc>
                <w:tcPr>
                  <w:tcW w:w="244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新洲大道</w:t>
                  </w:r>
                </w:p>
              </w:tc>
              <w:tc>
                <w:tcPr>
                  <w:tcW w:w="44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W</w:t>
                  </w:r>
                </w:p>
              </w:tc>
              <w:tc>
                <w:tcPr>
                  <w:tcW w:w="6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350m</w:t>
                  </w:r>
                </w:p>
              </w:tc>
              <w:tc>
                <w:tcPr>
                  <w:tcW w:w="11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无变化</w:t>
                  </w:r>
                </w:p>
              </w:tc>
            </w:tr>
          </w:tbl>
          <w:p>
            <w:pPr>
              <w:pStyle w:val="46"/>
              <w:keepNext w:val="0"/>
              <w:keepLines w:val="0"/>
              <w:pageBreakBefore w:val="0"/>
              <w:widowControl/>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项目厂界外500m范围内均为工业企业或未利用的规划用地，无大气环境</w:t>
            </w:r>
            <w:r>
              <w:rPr>
                <w:rFonts w:hint="eastAsia" w:cs="Times New Roman"/>
                <w:b w:val="0"/>
                <w:bCs w:val="0"/>
                <w:color w:val="000000" w:themeColor="text1"/>
                <w:sz w:val="26"/>
                <w:szCs w:val="26"/>
                <w:lang w:val="en-US" w:eastAsia="zh-CN"/>
                <w14:textFill>
                  <w14:solidFill>
                    <w14:schemeClr w14:val="tx1"/>
                  </w14:solidFill>
                </w14:textFill>
              </w:rPr>
              <w:t>、声环境</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保护目标分布。</w:t>
            </w:r>
            <w:r>
              <w:rPr>
                <w:rFonts w:hint="eastAsia" w:cs="Times New Roman"/>
                <w:b w:val="0"/>
                <w:bCs w:val="0"/>
                <w:color w:val="000000" w:themeColor="text1"/>
                <w:sz w:val="26"/>
                <w:szCs w:val="26"/>
                <w:lang w:val="en-US" w:eastAsia="zh-CN"/>
                <w14:textFill>
                  <w14:solidFill>
                    <w14:schemeClr w14:val="tx1"/>
                  </w14:solidFill>
                </w14:textFill>
              </w:rPr>
              <w:t>本次验收阶段</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厂界外500m范围内</w:t>
            </w:r>
            <w:r>
              <w:rPr>
                <w:rFonts w:hint="eastAsia" w:ascii="Times New Roman" w:hAnsi="Times New Roman" w:cs="Times New Roman"/>
                <w:b w:val="0"/>
                <w:bCs w:val="0"/>
                <w:color w:val="000000" w:themeColor="text1"/>
                <w:sz w:val="26"/>
                <w:szCs w:val="26"/>
                <w:lang w:val="en-US" w:eastAsia="zh-CN"/>
                <w14:textFill>
                  <w14:solidFill>
                    <w14:schemeClr w14:val="tx1"/>
                  </w14:solidFill>
                </w14:textFill>
              </w:rPr>
              <w:t>未新增大气环境、声</w:t>
            </w:r>
            <w:r>
              <w:rPr>
                <w:rFonts w:hint="eastAsia" w:cs="Times New Roman"/>
                <w:b w:val="0"/>
                <w:bCs w:val="0"/>
                <w:color w:val="000000" w:themeColor="text1"/>
                <w:sz w:val="26"/>
                <w:szCs w:val="26"/>
                <w:lang w:val="en-US" w:eastAsia="zh-CN"/>
                <w14:textFill>
                  <w14:solidFill>
                    <w14:schemeClr w14:val="tx1"/>
                  </w14:solidFill>
                </w14:textFill>
              </w:rPr>
              <w:t>环境保护</w:t>
            </w:r>
            <w:r>
              <w:rPr>
                <w:rFonts w:hint="eastAsia" w:ascii="Times New Roman" w:hAnsi="Times New Roman" w:cs="Times New Roman"/>
                <w:b w:val="0"/>
                <w:bCs w:val="0"/>
                <w:color w:val="000000" w:themeColor="text1"/>
                <w:sz w:val="26"/>
                <w:szCs w:val="26"/>
                <w:lang w:val="en-US" w:eastAsia="zh-CN"/>
                <w14:textFill>
                  <w14:solidFill>
                    <w14:schemeClr w14:val="tx1"/>
                  </w14:solidFill>
                </w14:textFill>
              </w:rPr>
              <w:t>目标。</w:t>
            </w:r>
          </w:p>
          <w:p>
            <w:pPr>
              <w:pStyle w:val="46"/>
              <w:keepNext w:val="0"/>
              <w:keepLines w:val="0"/>
              <w:pageBreakBefore w:val="0"/>
              <w:widowControl/>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pPr>
            <w:r>
              <w:rPr>
                <w:rFonts w:hint="default" w:ascii="Times New Roman" w:hAnsi="Times New Roman" w:cs="Times New Roman"/>
                <w:color w:val="000000"/>
                <w:sz w:val="26"/>
                <w:szCs w:val="26"/>
              </w:rPr>
              <w:t>项目厂界外500m范围内无地下水集中式饮用水水源和热水、矿泉水、温泉等特殊地下水资源。</w:t>
            </w:r>
            <w:r>
              <w:rPr>
                <w:rFonts w:hint="eastAsia" w:cs="Times New Roman"/>
                <w:b w:val="0"/>
                <w:bCs w:val="0"/>
                <w:color w:val="000000" w:themeColor="text1"/>
                <w:sz w:val="26"/>
                <w:szCs w:val="26"/>
                <w:lang w:val="en-US" w:eastAsia="zh-CN"/>
                <w14:textFill>
                  <w14:solidFill>
                    <w14:schemeClr w14:val="tx1"/>
                  </w14:solidFill>
                </w14:textFill>
              </w:rPr>
              <w:t>本次验收阶段</w:t>
            </w:r>
            <w:r>
              <w:rPr>
                <w:rFonts w:hint="default" w:ascii="Times New Roman" w:hAnsi="Times New Roman" w:eastAsia="宋体" w:cs="Times New Roman"/>
                <w:b w:val="0"/>
                <w:bCs w:val="0"/>
                <w:color w:val="000000" w:themeColor="text1"/>
                <w:sz w:val="26"/>
                <w:szCs w:val="26"/>
                <w:lang w:val="en-US" w:eastAsia="zh-CN"/>
                <w14:textFill>
                  <w14:solidFill>
                    <w14:schemeClr w14:val="tx1"/>
                  </w14:solidFill>
                </w14:textFill>
              </w:rPr>
              <w:t>厂界外500m范围内</w:t>
            </w:r>
            <w:r>
              <w:rPr>
                <w:rFonts w:hint="eastAsia" w:ascii="Times New Roman" w:hAnsi="Times New Roman" w:cs="Times New Roman"/>
                <w:b w:val="0"/>
                <w:bCs w:val="0"/>
                <w:color w:val="000000" w:themeColor="text1"/>
                <w:sz w:val="26"/>
                <w:szCs w:val="26"/>
                <w:lang w:val="en-US" w:eastAsia="zh-CN"/>
                <w14:textFill>
                  <w14:solidFill>
                    <w14:schemeClr w14:val="tx1"/>
                  </w14:solidFill>
                </w14:textFill>
              </w:rPr>
              <w:t>未新增地下水环境保护目标。</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2.1.3项目平面布置</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eastAsia" w:ascii="Times New Roman" w:hAnsi="Times New Roman" w:eastAsia="宋体"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本项目租赁金凤电子信息产业园10栋1层部分标准厂房进行建设，厂区北部和中部区域主要为生产区，南部为办公区。北部主要布置了一般固废间、特气室、清洗区和设备间，中部主要布置了封零、封口区、装架区、银焊除气区、前处理机加区、排气区、库房、包装区等，南部设置了会议室、办公室、会客室等。</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eastAsia" w:ascii="Times New Roman" w:hAnsi="Times New Roman" w:eastAsia="宋体"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项目功能分区明显，产品存放区、原料区距大门较近，便于物料运输；各生产功能单元相互连接，便于生产；生产过程产生的废气通过集气设施收集后经“碱液喷淋+除雾+活性炭吸附”处理后通过15m排气筒排放，对周边大气环境影响较小；在厂区北侧设置了1座55m</w:t>
            </w:r>
            <w:r>
              <w:rPr>
                <w:rFonts w:hint="eastAsia" w:ascii="Times New Roman" w:hAnsi="Times New Roman" w:eastAsia="宋体" w:cs="Times New Roman"/>
                <w:bCs/>
                <w:color w:val="000000" w:themeColor="text1"/>
                <w:sz w:val="26"/>
                <w:szCs w:val="26"/>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d的污水处理设施，采用“中和反应+沉淀+活性炭吸附+pH调节”处理工艺，污水站靠近清洗区，便于管网的铺设和减少管网长度，降低环境风险；西北侧设置1间一般工业固废暂存间暂存一般固废，危险废物依托4楼已建成危废暂存间储存，项目产生的固废能得到有效收集、暂存；通过对设备进行合理布局，采取基础减振及墙体隔声等综合治理措施后，噪声对周围声环境的影响不大，因此扩建项目总平面布置合理。</w:t>
            </w:r>
          </w:p>
          <w:p>
            <w:pPr>
              <w:keepNext w:val="0"/>
              <w:keepLines w:val="0"/>
              <w:pageBreakBefore w:val="0"/>
              <w:widowControl/>
              <w:kinsoku/>
              <w:wordWrap/>
              <w:overflowPunct/>
              <w:topLinePunct w:val="0"/>
              <w:autoSpaceDE/>
              <w:autoSpaceDN/>
              <w:bidi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本项目平面布局取消了危化品库房和危废暂存间的建设，变更为依托原有危化品库房和危废暂存间；其余平面布局无变化。</w:t>
            </w:r>
          </w:p>
          <w:p>
            <w:pPr>
              <w:keepNext w:val="0"/>
              <w:keepLines w:val="0"/>
              <w:pageBreakBefore w:val="0"/>
              <w:widowControl/>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2.2建设内容</w:t>
            </w:r>
          </w:p>
          <w:p>
            <w:pPr>
              <w:keepNext w:val="0"/>
              <w:keepLines w:val="0"/>
              <w:pageBreakBefore w:val="0"/>
              <w:widowControl/>
              <w:kinsoku/>
              <w:wordWrap/>
              <w:overflowPunct/>
              <w:topLinePunct w:val="0"/>
              <w:autoSpaceDE/>
              <w:autoSpaceDN/>
              <w:bidi w:val="0"/>
              <w:spacing w:after="0" w:line="460" w:lineRule="exact"/>
              <w:ind w:firstLine="520" w:firstLineChars="20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本次验收项目环评及批复阶段建设内容与实际建设内容对照见下表。</w:t>
            </w:r>
          </w:p>
          <w:p>
            <w:pPr>
              <w:keepNext w:val="0"/>
              <w:keepLines w:val="0"/>
              <w:pageBreakBefore w:val="0"/>
              <w:widowControl/>
              <w:kinsoku/>
              <w:wordWrap/>
              <w:overflowPunct/>
              <w:topLinePunct w:val="0"/>
              <w:autoSpaceDE/>
              <w:autoSpaceDN/>
              <w:bidi w:val="0"/>
              <w:spacing w:after="0" w:line="4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表2.2-1   项目环评及批复阶段建设内容与实际建设内容对照表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
              <w:gridCol w:w="276"/>
              <w:gridCol w:w="583"/>
              <w:gridCol w:w="2824"/>
              <w:gridCol w:w="3075"/>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工程分类</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项目</w:t>
                  </w:r>
                </w:p>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组成</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环评及批复建设内容</w:t>
                  </w:r>
                </w:p>
              </w:tc>
              <w:tc>
                <w:tcPr>
                  <w:tcW w:w="1855"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GB"/>
                      <w14:textFill>
                        <w14:solidFill>
                          <w14:schemeClr w14:val="tx1"/>
                        </w14:solidFill>
                      </w14:textFill>
                    </w:rPr>
                    <w:t>实际建设内容</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主体工程</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生产区</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生产区</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位于整个厂区中部和北部区域，占地</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面积约2700m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，主要由机加区、银焊除气区、装架区、封零封口区、排气区、清洗区、成品清洗区和测试区组成，主要布置了</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排气台1</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台、铸靶炉</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台、玻璃车床6台、银焊</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台、铅箱2</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台、除气台</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台等生产设备。</w:t>
                  </w:r>
                </w:p>
              </w:tc>
              <w:tc>
                <w:tcPr>
                  <w:tcW w:w="1855"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生产区</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位于整个厂区中部和北部区域，占地</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面积约2700m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，主要由机加区、银焊除气区、装架区、封零封口区、排气区、清洗区、成品清洗区和测试区组成，主要布置了</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排气台1</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台、铸靶炉</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台、玻璃车床6台、银焊</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台、铅箱2</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台、除气台</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台等生产设备。</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restar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辅助工程</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检验室</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位于厂房中部，面积约90</w:t>
                  </w:r>
                  <w:r>
                    <w:rPr>
                      <w:rFonts w:hint="default" w:ascii="Times New Roman" w:hAnsi="Times New Roman" w:eastAsia="宋体" w:cs="Times New Roman"/>
                      <w:snapToGrid w:val="0"/>
                      <w:color w:val="000000" w:themeColor="text1"/>
                      <w:kern w:val="2"/>
                      <w:sz w:val="22"/>
                      <w:szCs w:val="22"/>
                      <w:vertAlign w:val="baseline"/>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。主要对石墨烯镀膜</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零件进行电流发射情况检测</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1855"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位于厂房中部，面积约90</w:t>
                  </w:r>
                  <w:r>
                    <w:rPr>
                      <w:rFonts w:hint="default" w:ascii="Times New Roman" w:hAnsi="Times New Roman" w:eastAsia="宋体" w:cs="Times New Roman"/>
                      <w:snapToGrid w:val="0"/>
                      <w:color w:val="000000" w:themeColor="text1"/>
                      <w:kern w:val="2"/>
                      <w:sz w:val="22"/>
                      <w:szCs w:val="22"/>
                      <w:vertAlign w:val="baseline"/>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。主要对石墨烯镀膜</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零件进行电流发射情况检测</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包装区</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位于厂房东中部，面积约103m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。主要对产品进行装箱。</w:t>
                  </w:r>
                </w:p>
              </w:tc>
              <w:tc>
                <w:tcPr>
                  <w:tcW w:w="1855"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位于厂房东中部，面积约103m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。主要对产品进行装箱。</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办公区</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位于厂房东南部，面积约600m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，用于日常办公及客户接待，布置了管理大厅、会议室等功能间。</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扩建项目不新建厕所，依托标准厂房已建配套厕所。</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位于厂房东南部，面积约600m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，用于日常办公及客户接待，布置了管理大厅、会议室等功能间。</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扩建项目不新建厕所，依托标准厂房已建配套厕所。</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restar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公用工程</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给水</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依托金凤电子信息产业园现有给水管网，供水由园区现有供水管网接入。</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依托金凤电子信息产业园现有给水管网，供水由园区现有供水管网接入。</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排水</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采用雨污分流，雨水经园区已建成雨水管网收集排放至市政雨水管网。生产废水经自建污水处理设施（设计处理规模55m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/d）处理达《电子工业水污染物排放标准》（GB 39731-2020）表1间接标准后排入市政管网，生活污水依托金凤电子信息产业园生化池（设计处理规模450m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/d）处理达《污水综合排放标准》（GB 8978-1996）三级标准后排入市政污水管网，生产废水和生活污水再经西永污水处理厂处理达到《城镇污水处理厂污染物排放标准》（GB 18918-2002）一级A标准后排入梁滩河，最终汇入嘉陵江。</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采用雨污分流，雨水经园区已建成雨水管网收集排放至市政雨水管网。生产废水经自建污水处理设施（设计处理规模55m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/d）处理达《电子工业水污染物排放标准》（GB 39731-2020）表1间接标准后排入市政管网，生活污水依托金凤电子信息产业园生化池（设计处理规模450m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/d）处理达《污水综合排放标准》（GB 8978-1996）三级标准后排入市政污水管网，生产废水和生活污水再经西永污水处理厂处理达到《城镇污水处理厂污染物排放标准》（GB 18918-2002）一级A标准后排入梁滩河，最终汇入嘉陵江。</w:t>
                  </w:r>
                </w:p>
              </w:tc>
              <w:tc>
                <w:tcPr>
                  <w:tcW w:w="681"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纯水装置</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依托4层现有项目纯水装置系统，该纯水系统产水量为1.0m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/h，制取率约65%；本次仅需建设纯水管路。</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依托4层现有项目纯水装置系统，该纯水系统产水量为1.0m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/h，制取率约65%；本次仅需建设纯水管路。</w:t>
                  </w:r>
                </w:p>
              </w:tc>
              <w:tc>
                <w:tcPr>
                  <w:tcW w:w="681"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循环冷却系统</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扩建项目不新建循环水系统，依托设备自带的冷却系统，仅需连接进水管路。循环冷却水定期补充，不外排。</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扩建项目不新建循环水系统，依托设备自带的冷却系统，仅需连接进水管路。循环冷却水定期补充，不外排。</w:t>
                  </w:r>
                </w:p>
              </w:tc>
              <w:tc>
                <w:tcPr>
                  <w:tcW w:w="681"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供电</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依托金凤电子信息产业园供电系统。</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依托金凤电子信息产业园供电系统。</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restar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储运工程</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原材料库房</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位于厂房东南部，面积约68m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无氧铜、可伐丝、可伐管、玻壳</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等原料。</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位于厂房东南部，面积约68m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无氧铜、可伐丝、可伐管、玻壳</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等原料。</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危化品库房</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位于厂房西北部，面积约12m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。暂存清洗剂、酸</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类</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等化学品。</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取消建设，依托4楼现有危化品库房。</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特气室</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位于厂房西北部，面积约42m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。暂存氧气</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、丙烷、氩气等</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气体。</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位于厂房西北部，面积约42m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。暂存氧气</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、丙烷、氩气等</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气体。</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运输</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厂房外物料均采用汽车运输，厂房内采用叉车及人工运输。</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厂房外物料均采用汽车运输，厂房内采用叉车及人工运输。</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restar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环保工程</w:t>
                  </w: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废气</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项目产生的酸雾和有机废气</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通过</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集气设施</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收集</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，进入</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1套“碱液喷淋+除雾+活性炭吸附”装置处理后经15m高排气筒排放。</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机加工产生的金属粉尘经磨床自带吸尘装置收集处理后无组织排放。丙烷燃烧废气呈无组织排放。镀膜废气产生量较少，通过加强车间通风无组织排放。</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项目产生的酸雾和有机废气</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通过</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集气设施</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收集</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，进入</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1套“碱液喷淋+除雾+活性炭吸附”装置处理后经15m高排气筒排放。</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机加工产生的金属粉尘经磨床自带吸尘装置收集处理后无组织排放。丙烷燃烧废气呈无组织排放。</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无镀膜废气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废水</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生产废水经自建污水处理设施处理达《电子工业水污染物排放标准》（GB 39731-2020）表1间接标准后排入市政管网；生活污水依托金凤电子信息产业园生化池处理达《污水综合排放标准》（GB 8978-1996）三级标准后排入市政污水管网，生产废水和生活污水再经西永污水处理厂处理达到《城镇污水处理厂污染物排放标准》（GB 18918-2002）一级A标准后排入梁滩河，最终汇入嘉陵江</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新建污水处理设施设计处理规模为55m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/d，处理工艺为“中和反应+沉淀+活性炭吸附+pH调节”。生化池</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设计处理规模450m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/d</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，处理工艺为“调节+厌氧+沉淀”。</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生产废水经自建污水处理设施处理达《电子工业水污染物排放标准》（GB 39731-2020）表1间接标准后排入市政管网；生活污水依托金凤电子信息产业园生化池处理达《污水综合排放标准》（GB 8978-1996）三级标准后排入市政污水管网，生产废水和生活污水再经西永污水处理厂处理达到《城镇污水处理厂污染物排放标准》（GB 18918-2002）一级A标准后排入梁滩河，最终汇入嘉陵江</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新建污水处理设施设计处理规模为55m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/d，处理工艺为“中和反应+沉淀+活性炭吸附+pH调节”。生化池</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设计处理规模450m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/d</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，处理工艺为“调节+厌氧+沉淀”。</w:t>
                  </w:r>
                </w:p>
              </w:tc>
              <w:tc>
                <w:tcPr>
                  <w:tcW w:w="681"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513"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噪声</w:t>
                  </w:r>
                </w:p>
              </w:tc>
              <w:tc>
                <w:tcPr>
                  <w:tcW w:w="1704"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合理生产布局，采取选择低噪声设备、基础减震、</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建筑</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隔声、加强设备维护等措施。</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合理生产布局，采取选择低噪声设备、基础减震、</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建筑</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隔声、加强设备维护等措施。</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60" w:type="pct"/>
                  <w:vMerge w:val="restar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固体废物</w:t>
                  </w:r>
                </w:p>
              </w:tc>
              <w:tc>
                <w:tcPr>
                  <w:tcW w:w="352"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一般工业固体废物</w:t>
                  </w:r>
                </w:p>
              </w:tc>
              <w:tc>
                <w:tcPr>
                  <w:tcW w:w="1704"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设置</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1间</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一般工业固废暂存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，面积约20</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，用于</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废玻璃、不合格品、金属废料、废滤芯、金属粉末和焊渣</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一般工业固废</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集中收集后交</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物资回收单位处理。</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取消建设，依托4楼已建一般固废间。</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60"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352"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危险废物</w:t>
                  </w:r>
                </w:p>
              </w:tc>
              <w:tc>
                <w:tcPr>
                  <w:tcW w:w="1704"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设置</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1间</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危废暂存区</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，面积约20</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2</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，用于</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暂存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废包装桶、废活性炭、污泥、废切削液、废棉纱手套和废机油</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分类收集、暂存，</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定期交有资质单位处理，危险废物转移应按照危废转移联单制度相关规定执行。危废暂存区应采取“防风、防雨、防晒、防渗漏”四防措施。</w:t>
                  </w:r>
                </w:p>
              </w:tc>
              <w:tc>
                <w:tcPr>
                  <w:tcW w:w="3077" w:type="dxa"/>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取消建设，依托4楼已建危废暂存间。</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取消建设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60"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352"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生活垃圾</w:t>
                  </w:r>
                </w:p>
              </w:tc>
              <w:tc>
                <w:tcPr>
                  <w:tcW w:w="1704"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生活垃圾分类收集后</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委托环卫部门处理。</w:t>
                  </w:r>
                </w:p>
              </w:tc>
              <w:tc>
                <w:tcPr>
                  <w:tcW w:w="3077" w:type="dxa"/>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生活垃圾分类收集后</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委托环卫部门处理。</w:t>
                  </w:r>
                </w:p>
              </w:tc>
              <w:tc>
                <w:tcPr>
                  <w:tcW w:w="681" w:type="pct"/>
                  <w:noWrap w:val="0"/>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Merge w:val="continue"/>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60" w:type="pct"/>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环境风险</w:t>
                  </w:r>
                </w:p>
              </w:tc>
              <w:tc>
                <w:tcPr>
                  <w:tcW w:w="2057" w:type="pct"/>
                  <w:gridSpan w:val="2"/>
                  <w:noWrap w:val="0"/>
                  <w:tcMar>
                    <w:top w:w="28" w:type="dxa"/>
                    <w:left w:w="28" w:type="dxa"/>
                    <w:bottom w:w="28" w:type="dxa"/>
                    <w:right w:w="28" w:type="dxa"/>
                  </w:tcMar>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无水乙醇</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丙酮</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盐酸、硝酸、硫酸、氢氟酸、冰醋酸等风险物质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采用密闭</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容器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贮存，在包装桶下方设置托盘；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丙烷、乙炔气瓶应储存在防爆柜中，</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远离火种、热源</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，配置可燃气体泄漏报警器。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危废暂存区及</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危化品库房</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应远离火种、热源，地面采用环氧树脂漆作防渗防腐处理；设置禁烟禁火标识标牌</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配备一定数量的消防器材和吸附材料。</w:t>
                  </w:r>
                </w:p>
              </w:tc>
              <w:tc>
                <w:tcPr>
                  <w:tcW w:w="1855"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无水乙醇</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丙酮</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盐酸、硝酸、硫酸、氢氟酸、冰醋酸等风险物质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采用密闭</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容器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贮存，在包装桶下方设置托盘；</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丙烷、乙炔气瓶应储存在防爆柜中，</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远离火种、热源</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，配置可燃气体泄漏报警器。</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危废暂存区及</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危化品库房</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应远离火种、热源，地面采用环氧树脂漆作防渗防腐处理；设置禁烟禁火标识标牌</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配备一定数量的消防器材和吸附材料。</w:t>
                  </w:r>
                </w:p>
              </w:tc>
              <w:tc>
                <w:tcPr>
                  <w:tcW w:w="68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取消建设了危化品库房和危废暂存间，变更为依托原有危化品库房和危废暂存间，其余建设</w:t>
            </w:r>
            <w:r>
              <w:rPr>
                <w:rFonts w:hint="default" w:ascii="Times New Roman" w:hAnsi="Times New Roman" w:eastAsia="宋体" w:cs="Times New Roman"/>
                <w:color w:val="000000" w:themeColor="text1"/>
                <w:sz w:val="26"/>
                <w:szCs w:val="26"/>
                <w14:textFill>
                  <w14:solidFill>
                    <w14:schemeClr w14:val="tx1"/>
                  </w14:solidFill>
                </w14:textFill>
              </w:rPr>
              <w:t>内容与环评及批复</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一致。</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2.3主要生产设备</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验收项目主要生产设备见下表。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表2.3-1   验收项目主要生产设备表</w:t>
            </w:r>
          </w:p>
          <w:tbl>
            <w:tblPr>
              <w:tblStyle w:val="1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739"/>
              <w:gridCol w:w="2422"/>
              <w:gridCol w:w="1192"/>
              <w:gridCol w:w="1205"/>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96" w:type="pct"/>
                  <w:vMerge w:val="restar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序号</w:t>
                  </w:r>
                </w:p>
              </w:tc>
              <w:tc>
                <w:tcPr>
                  <w:tcW w:w="1049" w:type="pct"/>
                  <w:vMerge w:val="restar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名称</w:t>
                  </w:r>
                </w:p>
              </w:tc>
              <w:tc>
                <w:tcPr>
                  <w:tcW w:w="1461" w:type="pct"/>
                  <w:vMerge w:val="restar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规格</w:t>
                  </w:r>
                </w:p>
              </w:tc>
              <w:tc>
                <w:tcPr>
                  <w:tcW w:w="1446" w:type="pct"/>
                  <w:gridSpan w:val="2"/>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数量</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台/套</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746" w:type="pct"/>
                  <w:vMerge w:val="restar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与环评及批复对比情况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 w:type="pct"/>
                  <w:vMerge w:val="continue"/>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049" w:type="pct"/>
                  <w:vMerge w:val="continue"/>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1461" w:type="pct"/>
                  <w:vMerge w:val="continue"/>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环评阶段</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实际情况</w:t>
                  </w:r>
                </w:p>
              </w:tc>
              <w:tc>
                <w:tcPr>
                  <w:tcW w:w="746" w:type="pct"/>
                  <w:vMerge w:val="continue"/>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00" w:type="pct"/>
                  <w:gridSpan w:val="6"/>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一、前处理单元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台式钻床</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Z406C</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数控车床</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CK-0640</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磨床</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BD-46N</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4</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液压机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YA32</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00" w:type="pct"/>
                  <w:gridSpan w:val="6"/>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二、清洗</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超声波清洗机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XC-1500</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6</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纯水机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Limit RO-1T-L</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7</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酸洗槽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铜修复剂槽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9</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铜保护剂槽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丙酮槽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11</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乙醇槽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12</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环保水基清洗槽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13</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金属清洗剂槽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14</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清洗水槽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1.5*0.5*0.3</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00" w:type="pct"/>
                  <w:gridSpan w:val="6"/>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三、</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主体生产单元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平板芯柱压制机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JZ51</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16</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沉积炉</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UTCVD001</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17</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铸靶炉</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真空-3pa，温度1400℃</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18</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真空除气台</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真空-5pa，温度800℃</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3</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19</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银焊设备</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真空-5pa加热功率25kw</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交流接触式点焊机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最大焊接功率10KW</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7</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7</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21</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氩弧焊机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BL200</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7</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7</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22</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玻璃车床</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BF400卧式玻璃车床</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23</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真空排气台</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真空度-6pa，烘箱温度600℃，中频功率25kw，高压</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70kv，1.2KW</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15</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24</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自屏蔽高压射线源</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最高电压</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180</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kv，功率500w，屏蔽当量12mmpb</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28</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28</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00" w:type="pct"/>
                  <w:gridSpan w:val="6"/>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四、环保单元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25</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风机</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17000m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/h</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26</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喷淋塔</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27</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水泵</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9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28</w:t>
                  </w:r>
                </w:p>
              </w:tc>
              <w:tc>
                <w:tcPr>
                  <w:tcW w:w="104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污水治理设施</w:t>
                  </w:r>
                </w:p>
              </w:tc>
              <w:tc>
                <w:tcPr>
                  <w:tcW w:w="1461"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55m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/d</w:t>
                  </w:r>
                </w:p>
              </w:tc>
              <w:tc>
                <w:tcPr>
                  <w:tcW w:w="719"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2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w:t>
                  </w:r>
                </w:p>
              </w:tc>
              <w:tc>
                <w:tcPr>
                  <w:tcW w:w="746" w:type="pct"/>
                  <w:noWrap w:val="0"/>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设备数量与环评及批复阶段一致</w:t>
            </w:r>
            <w:r>
              <w:rPr>
                <w:rFonts w:hint="default" w:ascii="Times New Roman" w:hAnsi="Times New Roman" w:eastAsia="宋体" w:cs="Times New Roman"/>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2.4原辅材料消耗及水平衡</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验收项目主要原辅材料消耗情况见下表，</w:t>
            </w:r>
            <w:r>
              <w:rPr>
                <w:rFonts w:hint="default" w:ascii="Times New Roman" w:hAnsi="Times New Roman" w:eastAsia="宋体" w:cs="Times New Roman"/>
                <w:bCs/>
                <w:color w:val="000000" w:themeColor="text1"/>
                <w:sz w:val="26"/>
                <w:szCs w:val="26"/>
                <w14:textFill>
                  <w14:solidFill>
                    <w14:schemeClr w14:val="tx1"/>
                  </w14:solidFill>
                </w14:textFill>
              </w:rPr>
              <w:t>项目水平衡见下图。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表2.4-1   项目主要原辅材料消耗情况一览表</w:t>
            </w:r>
          </w:p>
          <w:tbl>
            <w:tblPr>
              <w:tblStyle w:val="13"/>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2610"/>
              <w:gridCol w:w="948"/>
              <w:gridCol w:w="1211"/>
              <w:gridCol w:w="898"/>
              <w:gridCol w:w="13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名称</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规格型号、包装方式</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单位</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环评阶段年用量</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实际年用量</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与环评及批复对比情况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无氧铜</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铜99.9%</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φ7</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5mm</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22900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22900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铍片</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铍99%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银铜焊</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丝</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银72%，铜28%</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阴极头</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铁99.5%</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φ40</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11400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11400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瓷柱</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氧化铝95%</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镍</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丝</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镍99%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40000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40000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玻壳</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二氧化硅66.5%，氧化硼23%</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2750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2750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阳极可伐</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铁50%，钴17%，镍29%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40700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40700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可伐</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丝</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铁50%，钴17%，镍29%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2550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2550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可伐</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管</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铁50%，钴17%，镍29%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40800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40800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可伐玻璃</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70%SiO2</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20%B2O3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8%K2O等</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2030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2030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钨板</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钨99.9%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193</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193</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钨灯丝</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钨99.9%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支/a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40800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40800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钼支杆</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纯钼</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纯度≥99.9%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支/a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61400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61400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阴极罩</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纯镍，纯度≥99.99%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个</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40750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40750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金属清洗剂</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C12~C15脂肪醇聚氧乙烯7醚3~12%，柠檬酸3~15%，无机酸2~6%，缓蚀剂1~3%，其余为水</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2500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2500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环保水基清洗剂</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聚合表面活性剂、水</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360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360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铜修复剂</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柠檬酸10%，草酸5%，丁二酸8%，聚乙二醇5%等</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铜保护剂</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植酸钠3%，丙三醇5%，咪唑啉6%，三乙醇胺2%，活性物1%等</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140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140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无水乙醇</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工业酒精99%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180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180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丙酮</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丙酮99%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盐酸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氯化氢35%，水65%</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260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260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硝酸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硝酸65%，水35%</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260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260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硫酸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硫酸98%</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80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80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草酸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草酸99%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过氧化氢</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过氧化氢30%，水70%</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0</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32</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0</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冰醋酸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99%</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500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氢氟酸</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氢氟酸40%，水60%</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L</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氢氧化钠</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氢氧化钠100%</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切削液</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聚醚10-20%，羧酸盐类、铜缓蚀剂、铝缓蚀剂5-15%，乙醇胺类10-20%，有机硅类0.5-1%，杀菌剂1-3%，水50-60%。</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80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机油</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100</w:t>
                  </w:r>
                </w:p>
              </w:tc>
              <w:tc>
                <w:tcPr>
                  <w:tcW w:w="1329"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变压器油</w:t>
                  </w:r>
                </w:p>
              </w:tc>
              <w:tc>
                <w:tcPr>
                  <w:tcW w:w="26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k</w:t>
                  </w: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g</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2000</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氧气</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430</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430</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丙烷</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144</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144</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氢气</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66</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66</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氩气</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12</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12</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乙炔</w:t>
                  </w:r>
                </w:p>
              </w:tc>
              <w:tc>
                <w:tcPr>
                  <w:tcW w:w="2611" w:type="dxa"/>
                  <w:vAlign w:val="center"/>
                </w:tcPr>
                <w:p>
                  <w:pPr>
                    <w:widowControl w:val="0"/>
                    <w:spacing w:after="0" w:line="320" w:lineRule="atLeast"/>
                    <w:jc w:val="cente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w:t>
                  </w:r>
                </w:p>
              </w:tc>
              <w:tc>
                <w:tcPr>
                  <w:tcW w:w="94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m</w:t>
                  </w:r>
                  <w:r>
                    <w:rPr>
                      <w:rFonts w:hint="eastAsia" w:ascii="Times New Roman" w:hAnsi="Times New Roman" w:eastAsia="宋体" w:cs="Times New Roman"/>
                      <w:snapToGrid w:val="0"/>
                      <w:color w:val="000000" w:themeColor="text1"/>
                      <w:kern w:val="2"/>
                      <w:sz w:val="22"/>
                      <w:szCs w:val="22"/>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/a</w:t>
                  </w:r>
                </w:p>
              </w:tc>
              <w:tc>
                <w:tcPr>
                  <w:tcW w:w="1211"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5.3</w:t>
                  </w:r>
                </w:p>
              </w:tc>
              <w:tc>
                <w:tcPr>
                  <w:tcW w:w="898" w:type="dxa"/>
                  <w:vAlign w:val="center"/>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5.3</w:t>
                  </w:r>
                </w:p>
              </w:tc>
              <w:tc>
                <w:tcPr>
                  <w:tcW w:w="1329" w:type="dxa"/>
                </w:tcPr>
                <w:p>
                  <w:pPr>
                    <w:widowControl w:val="0"/>
                    <w:spacing w:after="0" w:line="320" w:lineRule="atLeast"/>
                    <w:jc w:val="cente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2"/>
                      <w:szCs w:val="22"/>
                      <w:lang w:val="en-US" w:eastAsia="zh-CN"/>
                      <w14:textFill>
                        <w14:solidFill>
                          <w14:schemeClr w14:val="tx1"/>
                        </w14:solidFill>
                      </w14:textFill>
                    </w:rPr>
                    <w:t>无变化</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本项目用水主要为</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包括职工生活用水、清洗液配置用水、清洗用水、酸雾喷淋用水和地面清洁用水</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，项目</w:t>
            </w:r>
            <w:r>
              <w:rPr>
                <w:rFonts w:hint="default" w:ascii="Times New Roman" w:hAnsi="Times New Roman" w:eastAsia="宋体" w:cs="Times New Roman"/>
                <w:bCs/>
                <w:color w:val="000000" w:themeColor="text1"/>
                <w:sz w:val="26"/>
                <w:szCs w:val="26"/>
                <w14:textFill>
                  <w14:solidFill>
                    <w14:schemeClr w14:val="tx1"/>
                  </w14:solidFill>
                </w14:textFill>
              </w:rPr>
              <w:t>新鲜用水量为17081.7m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/a（57.023m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/d），污水排放总量为15641.52m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/a（52.214m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/d），包含了生活污水540m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/a（1.8m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/d），生产废水15101.52m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/a（50.414m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/d）。</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cs="Times New Roman"/>
                <w:color w:val="000000"/>
                <w:sz w:val="24"/>
              </w:rPr>
              <w:object>
                <v:shape id="_x0000_i1025" o:spt="75" type="#_x0000_t75" style="height:332.9pt;width:413.6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r>
              <w:rPr>
                <w:rFonts w:hint="default" w:ascii="Times New Roman" w:hAnsi="Times New Roman" w:eastAsia="宋体" w:cs="Times New Roman"/>
                <w:color w:val="000000" w:themeColor="text1"/>
                <w:sz w:val="26"/>
                <w:szCs w:val="26"/>
                <w14:textFill>
                  <w14:solidFill>
                    <w14:schemeClr w14:val="tx1"/>
                  </w14:solidFill>
                </w14:textFill>
              </w:rPr>
              <w:t xml:space="preserve">图2.4-1  </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项目</w:t>
            </w:r>
            <w:r>
              <w:rPr>
                <w:rFonts w:hint="default" w:ascii="Times New Roman" w:hAnsi="Times New Roman" w:eastAsia="宋体" w:cs="Times New Roman"/>
                <w:bCs/>
                <w:color w:val="000000" w:themeColor="text1"/>
                <w:sz w:val="26"/>
                <w:szCs w:val="26"/>
                <w14:textFill>
                  <w14:solidFill>
                    <w14:schemeClr w14:val="tx1"/>
                  </w14:solidFill>
                </w14:textFill>
              </w:rPr>
              <w:t>水平衡图（m</w:t>
            </w:r>
            <w:r>
              <w:rPr>
                <w:rFonts w:hint="default" w:ascii="Times New Roman" w:hAnsi="Times New Roman" w:eastAsia="宋体" w:cs="Times New Roman"/>
                <w:bCs/>
                <w:color w:val="000000" w:themeColor="text1"/>
                <w:sz w:val="26"/>
                <w:szCs w:val="26"/>
                <w:vertAlign w:val="superscript"/>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/d）</w:t>
            </w:r>
          </w:p>
          <w:p>
            <w:pPr>
              <w:keepNext w:val="0"/>
              <w:keepLines w:val="0"/>
              <w:pageBreakBefore w:val="0"/>
              <w:kinsoku/>
              <w:wordWrap/>
              <w:overflowPunct/>
              <w:topLinePunct w:val="0"/>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2.5主要工艺流程及产污环节</w:t>
            </w:r>
          </w:p>
          <w:p>
            <w:pPr>
              <w:pStyle w:val="18"/>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6"/>
                <w:szCs w:val="26"/>
                <w:lang w:val="en-US" w:eastAsia="zh-CN"/>
                <w14:textFill>
                  <w14:solidFill>
                    <w14:schemeClr w14:val="tx1"/>
                  </w14:solidFill>
                </w14:textFill>
              </w:rPr>
              <w:t>本项目</w:t>
            </w:r>
            <w:r>
              <w:rPr>
                <w:rFonts w:hint="eastAsia" w:ascii="Times New Roman" w:cs="Times New Roman"/>
                <w:color w:val="000000" w:themeColor="text1"/>
                <w:sz w:val="26"/>
                <w:szCs w:val="26"/>
                <w:lang w:val="en-US" w:eastAsia="zh-CN"/>
                <w14:textFill>
                  <w14:solidFill>
                    <w14:schemeClr w14:val="tx1"/>
                  </w14:solidFill>
                </w14:textFill>
              </w:rPr>
              <w:t>生产工艺与环评阶段保持一致，无变化。生产工艺流程图见图2.5-1</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w:t>
            </w:r>
          </w:p>
          <w:p>
            <w:pPr>
              <w:pStyle w:val="18"/>
              <w:rPr>
                <w:color w:val="000000" w:themeColor="text1"/>
                <w14:textFill>
                  <w14:solidFill>
                    <w14:schemeClr w14:val="tx1"/>
                  </w14:solidFill>
                </w14:textFill>
              </w:rPr>
            </w:pPr>
            <w:r>
              <w:rPr>
                <w:rFonts w:hint="default" w:ascii="Times New Roman" w:hAnsi="Times New Roman" w:cs="Times New Roman"/>
                <w:color w:val="000000"/>
                <w:sz w:val="24"/>
              </w:rPr>
              <w:object>
                <v:shape id="_x0000_i1026" o:spt="75" type="#_x0000_t75" style="height:481.6pt;width:405.4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pStyle w:val="4"/>
              <w:keepNext w:val="0"/>
              <w:keepLines w:val="0"/>
              <w:pageBreakBefore w:val="0"/>
              <w:widowControl w:val="0"/>
              <w:kinsoku/>
              <w:wordWrap/>
              <w:overflowPunct/>
              <w:topLinePunct w:val="0"/>
              <w:autoSpaceDE w:val="0"/>
              <w:autoSpaceDN w:val="0"/>
              <w:bidi w:val="0"/>
              <w:adjustRightInd w:val="0"/>
              <w:snapToGrid w:val="0"/>
              <w:spacing w:after="0" w:line="460" w:lineRule="exact"/>
              <w:ind w:left="0" w:firstLine="520" w:firstLineChars="200"/>
              <w:jc w:val="center"/>
              <w:textAlignment w:val="baseline"/>
              <w:rPr>
                <w:rFonts w:hint="default" w:ascii="Times New Roman" w:hAnsi="Times New Roman" w:eastAsia="宋体" w:cs="Times New Roman"/>
                <w:color w:val="000000" w:themeColor="text1"/>
                <w:sz w:val="26"/>
                <w:szCs w:val="26"/>
                <w:lang w:val="en-US" w:eastAsia="zh-CN" w:bidi="ar-SA"/>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bidi="ar-SA"/>
                <w14:textFill>
                  <w14:solidFill>
                    <w14:schemeClr w14:val="tx1"/>
                  </w14:solidFill>
                </w14:textFill>
              </w:rPr>
              <w:t>图2.5-1  X射线管工艺流程图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工艺流程简述：</w:t>
            </w:r>
          </w:p>
          <w:p>
            <w:pPr>
              <w:keepNext w:val="0"/>
              <w:keepLines w:val="0"/>
              <w:pageBreakBefore w:val="0"/>
              <w:kinsoku/>
              <w:wordWrap/>
              <w:overflowPunct/>
              <w:topLinePunct w:val="0"/>
              <w:bidi w:val="0"/>
              <w:adjustRightInd w:val="0"/>
              <w:snapToGrid w:val="0"/>
              <w:spacing w:after="0" w:line="460" w:lineRule="exact"/>
              <w:ind w:firstLine="520" w:firstLineChars="200"/>
              <w:jc w:val="both"/>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（1）前处理</w:t>
            </w:r>
          </w:p>
          <w:p>
            <w:pPr>
              <w:keepNext w:val="0"/>
              <w:keepLines w:val="0"/>
              <w:pageBreakBefore w:val="0"/>
              <w:kinsoku/>
              <w:wordWrap/>
              <w:overflowPunct/>
              <w:topLinePunct w:val="0"/>
              <w:bidi w:val="0"/>
              <w:adjustRightInd w:val="0"/>
              <w:snapToGrid w:val="0"/>
              <w:spacing w:after="0" w:line="460" w:lineRule="exact"/>
              <w:ind w:firstLine="520" w:firstLineChars="200"/>
              <w:jc w:val="both"/>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前处理工序主要是通过机加处理制作阳极，位于前处理区。具体生产工艺如下：</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object>
                <v:shape id="_x0000_i1027" o:spt="75" type="#_x0000_t75" style="height:125.4pt;width:414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r>
              <w:rPr>
                <w:rFonts w:hint="default" w:ascii="Times New Roman" w:hAnsi="Times New Roman" w:eastAsia="宋体" w:cs="Times New Roman"/>
                <w:bCs/>
                <w:color w:val="000000" w:themeColor="text1"/>
                <w:sz w:val="26"/>
                <w:szCs w:val="26"/>
                <w14:textFill>
                  <w14:solidFill>
                    <w14:schemeClr w14:val="tx1"/>
                  </w14:solidFill>
                </w14:textFill>
              </w:rPr>
              <w:t>图</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2.</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5</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-2</w:t>
            </w:r>
            <w:r>
              <w:rPr>
                <w:rFonts w:hint="default" w:ascii="Times New Roman" w:hAnsi="Times New Roman" w:eastAsia="宋体" w:cs="Times New Roman"/>
                <w:bCs/>
                <w:color w:val="000000" w:themeColor="text1"/>
                <w:sz w:val="26"/>
                <w:szCs w:val="26"/>
                <w14:textFill>
                  <w14:solidFill>
                    <w14:schemeClr w14:val="tx1"/>
                  </w14:solidFill>
                </w14:textFill>
              </w:rPr>
              <w:t xml:space="preserve">  前处理工艺流程</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①下料：首先根据产品类型及尺寸，利用液压机对无氧铜进行定尺锯切下料</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无氧铜为棒状，下料为约75mm的短棒</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会产生金属废料（S1）。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②铸靶：将下料后的无氧铜和</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钨板</w:t>
            </w:r>
            <w:r>
              <w:rPr>
                <w:rFonts w:hint="default" w:ascii="Times New Roman" w:hAnsi="Times New Roman" w:eastAsia="宋体" w:cs="Times New Roman"/>
                <w:bCs/>
                <w:color w:val="000000" w:themeColor="text1"/>
                <w:sz w:val="26"/>
                <w:szCs w:val="26"/>
                <w14:textFill>
                  <w14:solidFill>
                    <w14:schemeClr w14:val="tx1"/>
                  </w14:solidFill>
                </w14:textFill>
              </w:rPr>
              <w:t>放置于真空铸靶炉内，利用高温加热将无氧铜加热到熔融状态与</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钨板和铍片</w:t>
            </w:r>
            <w:r>
              <w:rPr>
                <w:rFonts w:hint="default" w:ascii="Times New Roman" w:hAnsi="Times New Roman" w:eastAsia="宋体" w:cs="Times New Roman"/>
                <w:bCs/>
                <w:color w:val="000000" w:themeColor="text1"/>
                <w:sz w:val="26"/>
                <w:szCs w:val="26"/>
                <w14:textFill>
                  <w14:solidFill>
                    <w14:schemeClr w14:val="tx1"/>
                  </w14:solidFill>
                </w14:textFill>
              </w:rPr>
              <w:t>连接形成阳极靶，</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铍片主要作用为吸收软射线，降低对人体的伤害。</w:t>
            </w:r>
            <w:r>
              <w:rPr>
                <w:rFonts w:hint="default" w:ascii="Times New Roman" w:hAnsi="Times New Roman" w:eastAsia="宋体" w:cs="Times New Roman"/>
                <w:bCs/>
                <w:color w:val="000000" w:themeColor="text1"/>
                <w:sz w:val="26"/>
                <w:szCs w:val="26"/>
                <w14:textFill>
                  <w14:solidFill>
                    <w14:schemeClr w14:val="tx1"/>
                  </w14:solidFill>
                </w14:textFill>
              </w:rPr>
              <w:t>加热方式为电加热</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加热温度约1200℃</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真空铸靶炉为密闭化设备，</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真空度约-2pa，</w:t>
            </w:r>
            <w:r>
              <w:rPr>
                <w:rFonts w:hint="default" w:ascii="Times New Roman" w:hAnsi="Times New Roman" w:eastAsia="宋体" w:cs="Times New Roman"/>
                <w:bCs/>
                <w:color w:val="000000" w:themeColor="text1"/>
                <w:sz w:val="26"/>
                <w:szCs w:val="26"/>
                <w14:textFill>
                  <w14:solidFill>
                    <w14:schemeClr w14:val="tx1"/>
                  </w14:solidFill>
                </w14:textFill>
              </w:rPr>
              <w:t>设备自带冷却水系统对设备表面进行降温冷却</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冷却水定期补充，不外排</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③车毛坯</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利用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数控</w:t>
            </w:r>
            <w:r>
              <w:rPr>
                <w:rFonts w:hint="default" w:ascii="Times New Roman" w:hAnsi="Times New Roman" w:eastAsia="宋体" w:cs="Times New Roman"/>
                <w:bCs/>
                <w:color w:val="000000" w:themeColor="text1"/>
                <w:sz w:val="26"/>
                <w:szCs w:val="26"/>
                <w14:textFill>
                  <w14:solidFill>
                    <w14:schemeClr w14:val="tx1"/>
                  </w14:solidFill>
                </w14:textFill>
              </w:rPr>
              <w:t>车床对铸靶后的工件进行车加工，</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加工过程为全自动编程控制，最终</w:t>
            </w:r>
            <w:r>
              <w:rPr>
                <w:rFonts w:hint="default" w:ascii="Times New Roman" w:hAnsi="Times New Roman" w:eastAsia="宋体" w:cs="Times New Roman"/>
                <w:bCs/>
                <w:color w:val="000000" w:themeColor="text1"/>
                <w:sz w:val="26"/>
                <w:szCs w:val="26"/>
                <w14:textFill>
                  <w14:solidFill>
                    <w14:schemeClr w14:val="tx1"/>
                  </w14:solidFill>
                </w14:textFill>
              </w:rPr>
              <w:t>加工成需要的形状。加工过程中使用切削液对工件进行冷却。该工序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会产生废切削液（S2）</w:t>
            </w:r>
            <w:r>
              <w:rPr>
                <w:rFonts w:hint="default" w:ascii="Times New Roman" w:hAnsi="Times New Roman" w:eastAsia="宋体" w:cs="Times New Roman"/>
                <w:bCs/>
                <w:color w:val="000000" w:themeColor="text1"/>
                <w:sz w:val="26"/>
                <w:szCs w:val="26"/>
                <w14:textFill>
                  <w14:solidFill>
                    <w14:schemeClr w14:val="tx1"/>
                  </w14:solidFill>
                </w14:textFill>
              </w:rPr>
              <w:t>和沾染切削液的金属废料</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S3</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④钻孔、攻牙</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利用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台式</w:t>
            </w:r>
            <w:r>
              <w:rPr>
                <w:rFonts w:hint="default" w:ascii="Times New Roman" w:hAnsi="Times New Roman" w:eastAsia="宋体" w:cs="Times New Roman"/>
                <w:bCs/>
                <w:color w:val="000000" w:themeColor="text1"/>
                <w:sz w:val="26"/>
                <w:szCs w:val="26"/>
                <w14:textFill>
                  <w14:solidFill>
                    <w14:schemeClr w14:val="tx1"/>
                  </w14:solidFill>
                </w14:textFill>
              </w:rPr>
              <w:t>钻床对</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组件</w:t>
            </w:r>
            <w:r>
              <w:rPr>
                <w:rFonts w:hint="default" w:ascii="Times New Roman" w:hAnsi="Times New Roman" w:eastAsia="宋体" w:cs="Times New Roman"/>
                <w:bCs/>
                <w:color w:val="000000" w:themeColor="text1"/>
                <w:sz w:val="26"/>
                <w:szCs w:val="26"/>
                <w14:textFill>
                  <w14:solidFill>
                    <w14:schemeClr w14:val="tx1"/>
                  </w14:solidFill>
                </w14:textFill>
              </w:rPr>
              <w:t>进行钻孔、攻牙处理</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该设备不使用切削液</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会产生金属废料（S1）。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⑤打磨抛光</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利用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磨床</w:t>
            </w:r>
            <w:r>
              <w:rPr>
                <w:rFonts w:hint="default" w:ascii="Times New Roman" w:hAnsi="Times New Roman" w:eastAsia="宋体" w:cs="Times New Roman"/>
                <w:bCs/>
                <w:color w:val="000000" w:themeColor="text1"/>
                <w:sz w:val="26"/>
                <w:szCs w:val="26"/>
                <w14:textFill>
                  <w14:solidFill>
                    <w14:schemeClr w14:val="tx1"/>
                  </w14:solidFill>
                </w14:textFill>
              </w:rPr>
              <w:t>对</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组件</w:t>
            </w:r>
            <w:r>
              <w:rPr>
                <w:rFonts w:hint="default" w:ascii="Times New Roman" w:hAnsi="Times New Roman" w:eastAsia="宋体" w:cs="Times New Roman"/>
                <w:bCs/>
                <w:color w:val="000000" w:themeColor="text1"/>
                <w:sz w:val="26"/>
                <w:szCs w:val="26"/>
                <w14:textFill>
                  <w14:solidFill>
                    <w14:schemeClr w14:val="tx1"/>
                  </w14:solidFill>
                </w14:textFill>
              </w:rPr>
              <w:t>进行打磨抛光</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打磨采用干式打磨，磨床自带有吸尘装置</w:t>
            </w:r>
            <w:r>
              <w:rPr>
                <w:rFonts w:hint="default" w:ascii="Times New Roman" w:hAnsi="Times New Roman" w:eastAsia="宋体" w:cs="Times New Roman"/>
                <w:bCs/>
                <w:color w:val="000000" w:themeColor="text1"/>
                <w:sz w:val="26"/>
                <w:szCs w:val="26"/>
                <w14:textFill>
                  <w14:solidFill>
                    <w14:schemeClr w14:val="tx1"/>
                  </w14:solidFill>
                </w14:textFill>
              </w:rPr>
              <w:t>。该工序会产生金属粉尘（G1）。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⑥精加工</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利用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数控</w:t>
            </w:r>
            <w:r>
              <w:rPr>
                <w:rFonts w:hint="default" w:ascii="Times New Roman" w:hAnsi="Times New Roman" w:eastAsia="宋体" w:cs="Times New Roman"/>
                <w:bCs/>
                <w:color w:val="000000" w:themeColor="text1"/>
                <w:sz w:val="26"/>
                <w:szCs w:val="26"/>
                <w14:textFill>
                  <w14:solidFill>
                    <w14:schemeClr w14:val="tx1"/>
                  </w14:solidFill>
                </w14:textFill>
              </w:rPr>
              <w:t>车床对</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组件</w:t>
            </w:r>
            <w:r>
              <w:rPr>
                <w:rFonts w:hint="default" w:ascii="Times New Roman" w:hAnsi="Times New Roman" w:eastAsia="宋体" w:cs="Times New Roman"/>
                <w:bCs/>
                <w:color w:val="000000" w:themeColor="text1"/>
                <w:sz w:val="26"/>
                <w:szCs w:val="26"/>
                <w14:textFill>
                  <w14:solidFill>
                    <w14:schemeClr w14:val="tx1"/>
                  </w14:solidFill>
                </w14:textFill>
              </w:rPr>
              <w:t>进行精加工，最终得到阳极。该工序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会产生废切削液（S2）和</w:t>
            </w:r>
            <w:r>
              <w:rPr>
                <w:rFonts w:hint="default" w:ascii="Times New Roman" w:hAnsi="Times New Roman" w:eastAsia="宋体" w:cs="Times New Roman"/>
                <w:bCs/>
                <w:color w:val="000000" w:themeColor="text1"/>
                <w:sz w:val="26"/>
                <w:szCs w:val="26"/>
                <w14:textFill>
                  <w14:solidFill>
                    <w14:schemeClr w14:val="tx1"/>
                  </w14:solidFill>
                </w14:textFill>
              </w:rPr>
              <w:t>沾染切削液的金属废料</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S3</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（2）芯柱制造</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芯柱是射线管的主要部件之一，它起着支撑发光体，导通电流以及和玻壳起密封的作用。生产过程主要集中在前处理区，具体生产工艺如下：</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①割管：利用玻璃车床将外购可伐玻璃切割成相应的规格尺寸，</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会产生废玻璃（S5）。</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②制导丝：通过电容器对可伐丝进行通电，当电容放电时，在两丝头间产生电弧熔化可伐丝</w:t>
            </w:r>
            <w:r>
              <w:rPr>
                <w:rFonts w:hint="default" w:ascii="Times New Roman" w:hAnsi="Times New Roman" w:eastAsia="宋体" w:cs="Times New Roman"/>
                <w:bCs/>
                <w:color w:val="000000" w:themeColor="text1"/>
                <w:sz w:val="26"/>
                <w:szCs w:val="26"/>
                <w14:textFill>
                  <w14:solidFill>
                    <w14:schemeClr w14:val="tx1"/>
                  </w14:solidFill>
                </w14:textFill>
              </w:rPr>
              <w:t>从而</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使两丝头相连，达到焊接的目的。可伐丝连接无需焊接材料，无焊接烟尘产生，</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会产生少量金属废料（S1）。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③制芯柱：将</w:t>
            </w:r>
            <w:r>
              <w:rPr>
                <w:rFonts w:hint="default" w:ascii="Times New Roman" w:hAnsi="Times New Roman" w:eastAsia="宋体" w:cs="Times New Roman"/>
                <w:bCs/>
                <w:color w:val="000000" w:themeColor="text1"/>
                <w:sz w:val="26"/>
                <w:szCs w:val="26"/>
                <w14:textFill>
                  <w14:solidFill>
                    <w14:schemeClr w14:val="tx1"/>
                  </w14:solidFill>
                </w14:textFill>
              </w:rPr>
              <w:t>可伐丝、</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可伐</w:t>
            </w:r>
            <w:r>
              <w:rPr>
                <w:rFonts w:hint="default" w:ascii="Times New Roman" w:hAnsi="Times New Roman" w:eastAsia="宋体" w:cs="Times New Roman"/>
                <w:bCs/>
                <w:color w:val="000000" w:themeColor="text1"/>
                <w:sz w:val="26"/>
                <w:szCs w:val="26"/>
                <w14:textFill>
                  <w14:solidFill>
                    <w14:schemeClr w14:val="tx1"/>
                  </w14:solidFill>
                </w14:textFill>
              </w:rPr>
              <w:t>玻璃、可伐管</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瓷柱放置在平板芯柱压制机的各个夹钳内，然后通入氧气和丙烷对工件加热</w:t>
            </w:r>
            <w:r>
              <w:rPr>
                <w:rFonts w:hint="default" w:ascii="Times New Roman" w:hAnsi="Times New Roman" w:eastAsia="宋体" w:cs="Times New Roman"/>
                <w:bCs/>
                <w:color w:val="000000" w:themeColor="text1"/>
                <w:sz w:val="26"/>
                <w:szCs w:val="26"/>
                <w14:textFill>
                  <w14:solidFill>
                    <w14:schemeClr w14:val="tx1"/>
                  </w14:solidFill>
                </w14:textFill>
              </w:rPr>
              <w:t>连接，</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加热温度约1200℃，瓷柱为外径上大下小阶梯状的圆柱体结构；以瓷柱本体的中心轴线为基准轴向贯穿均</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布置</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有四个上小下大的阶梯孔，分别用于固定四根两长两短的导引线；瓷柱上端面毗邻阶梯孔的表面制有金属化层，通过加热融化，使金属化层与可伐丝等材料连接在一起。加工成型后自然冷却，</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再</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通过机械手取下</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会产生丙烷燃烧废气（G2）。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（3）清洗</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object>
                <v:shape id="_x0000_i1028" o:spt="75" type="#_x0000_t75" style="height:138.2pt;width:414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图2.</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5</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-3  清洗工序流程图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制作好的芯柱和阳极</w:t>
            </w:r>
            <w:r>
              <w:rPr>
                <w:rFonts w:hint="eastAsia" w:ascii="Times New Roman" w:hAnsi="Times New Roman" w:eastAsia="宋体" w:cs="Times New Roman"/>
                <w:bCs/>
                <w:color w:val="000000" w:themeColor="text1"/>
                <w:sz w:val="26"/>
                <w:szCs w:val="26"/>
                <w:lang w:eastAsia="zh-CN"/>
                <w14:textFill>
                  <w14:solidFill>
                    <w14:schemeClr w14:val="tx1"/>
                  </w14:solidFill>
                </w14:textFill>
              </w:rPr>
              <w:t>，以及</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外购的玻壳</w:t>
            </w:r>
            <w:r>
              <w:rPr>
                <w:rFonts w:hint="default" w:ascii="Times New Roman" w:hAnsi="Times New Roman" w:eastAsia="宋体" w:cs="Times New Roman"/>
                <w:bCs/>
                <w:color w:val="000000" w:themeColor="text1"/>
                <w:sz w:val="26"/>
                <w:szCs w:val="26"/>
                <w14:textFill>
                  <w14:solidFill>
                    <w14:schemeClr w14:val="tx1"/>
                  </w14:solidFill>
                </w14:textFill>
              </w:rPr>
              <w:t>、阴极头、</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阴极罩、</w:t>
            </w:r>
            <w:r>
              <w:rPr>
                <w:rFonts w:hint="default" w:ascii="Times New Roman" w:hAnsi="Times New Roman" w:eastAsia="宋体" w:cs="Times New Roman"/>
                <w:bCs/>
                <w:color w:val="000000" w:themeColor="text1"/>
                <w:sz w:val="26"/>
                <w:szCs w:val="26"/>
                <w14:textFill>
                  <w14:solidFill>
                    <w14:schemeClr w14:val="tx1"/>
                  </w14:solidFill>
                </w14:textFill>
              </w:rPr>
              <w:t>阳极可伐、钼支杆、钨灯丝、</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镍</w:t>
            </w:r>
            <w:r>
              <w:rPr>
                <w:rFonts w:hint="default" w:ascii="Times New Roman" w:hAnsi="Times New Roman" w:eastAsia="宋体" w:cs="Times New Roman"/>
                <w:bCs/>
                <w:color w:val="000000" w:themeColor="text1"/>
                <w:sz w:val="26"/>
                <w:szCs w:val="26"/>
                <w14:textFill>
                  <w14:solidFill>
                    <w14:schemeClr w14:val="tx1"/>
                  </w14:solidFill>
                </w14:textFill>
              </w:rPr>
              <w:t>丝等所有组件送往清洗区进行去油、去氧化层等清洗处理，</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扩建项目清洗主要分为除油、除锈、水洗和干燥四</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道</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工序。</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①除油：将环保水基清洗剂配置成5%溶液置于超声波清洗机的水槽内，将工件放置在除油槽中常温清洗10~15min，通过借助于表面活性</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剂</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成份的润湿、渗透、乳化、分散能力，使油污在金属表面的附着力减弱、脱离而进入洗液，</w:t>
            </w:r>
            <w:r>
              <w:rPr>
                <w:rFonts w:hint="default" w:ascii="Times New Roman" w:hAnsi="Times New Roman" w:eastAsia="宋体" w:cs="Times New Roman"/>
                <w:bCs/>
                <w:color w:val="000000" w:themeColor="text1"/>
                <w:sz w:val="26"/>
                <w:szCs w:val="26"/>
                <w14:textFill>
                  <w14:solidFill>
                    <w14:schemeClr w14:val="tx1"/>
                  </w14:solidFill>
                </w14:textFill>
              </w:rPr>
              <w:t>除油过程在常温常压下进行</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对于部分使用环保水基清洗剂效果不佳的组件，则通过丙酮溶液除油，丙酮无需加水配置，通过擦拭或局部浸泡约1-3min，利用丙酮与油的相似相容原理除油，项目分别设置了1个环保水基清洗剂槽和丙酮清洗剂槽，规格均为1.5*0.5*0.3m</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清洗液均循环使用，正常情况下每个月更换一次，</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会产生有机废气（G3）、</w:t>
            </w:r>
            <w:r>
              <w:rPr>
                <w:rFonts w:hint="default" w:ascii="Times New Roman" w:hAnsi="Times New Roman" w:eastAsia="宋体" w:cs="Times New Roman"/>
                <w:bCs/>
                <w:color w:val="000000" w:themeColor="text1"/>
                <w:sz w:val="26"/>
                <w:szCs w:val="26"/>
                <w14:textFill>
                  <w14:solidFill>
                    <w14:schemeClr w14:val="tx1"/>
                  </w14:solidFill>
                </w14:textFill>
              </w:rPr>
              <w:t>清洗废液（W1）</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和废棉纱手套（S6）。</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②除锈：</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项目除锈主要分为含铜组件除锈和其他组件除锈。</w:t>
            </w:r>
            <w:r>
              <w:rPr>
                <w:rFonts w:hint="default" w:ascii="Times New Roman" w:hAnsi="Times New Roman" w:eastAsia="宋体" w:cs="Times New Roman"/>
                <w:bCs/>
                <w:color w:val="000000" w:themeColor="text1"/>
                <w:sz w:val="26"/>
                <w:szCs w:val="26"/>
                <w14:textFill>
                  <w14:solidFill>
                    <w14:schemeClr w14:val="tx1"/>
                  </w14:solidFill>
                </w14:textFill>
              </w:rPr>
              <w:t>含铜组件</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放置于配置有5%的铜修复剂溶液槽内，常温浸泡约5-10min，通过铜修复剂的酸类物质和各类助剂溶解工件表面氧化物</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再放置于配有10%的铜保护剂溶液中，常温浸泡约10-15min，利用铜保护剂内的成分在含铜组件表面形成一层抗氧化的保护膜</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铜保护剂</w:t>
            </w:r>
            <w:r>
              <w:rPr>
                <w:rFonts w:hint="default" w:ascii="Times New Roman" w:hAnsi="Times New Roman" w:eastAsia="宋体" w:cs="Times New Roman"/>
                <w:bCs/>
                <w:color w:val="000000" w:themeColor="text1"/>
                <w:sz w:val="26"/>
                <w:szCs w:val="26"/>
                <w14:textFill>
                  <w14:solidFill>
                    <w14:schemeClr w14:val="tx1"/>
                  </w14:solidFill>
                </w14:textFill>
              </w:rPr>
              <w:t>不含铬</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项目分别设置了1个铜修复剂槽和铜保护剂槽，规格均为1.5*0.5*0.3m。</w:t>
            </w:r>
            <w:r>
              <w:rPr>
                <w:rFonts w:hint="default" w:ascii="Times New Roman" w:hAnsi="Times New Roman" w:eastAsia="宋体" w:cs="Times New Roman"/>
                <w:bCs/>
                <w:color w:val="000000" w:themeColor="text1"/>
                <w:sz w:val="26"/>
                <w:szCs w:val="26"/>
                <w14:textFill>
                  <w14:solidFill>
                    <w14:schemeClr w14:val="tx1"/>
                  </w14:solidFill>
                </w14:textFill>
              </w:rPr>
              <w:t>其他金属组件</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放置于酸洗槽内除锈，项目设置了1个金属清洗剂槽、2个酸洗槽，规格均为1.5*0.5*0.3m，针对锈蚀轻微的组件，通过配置5%的金属清洗剂溶液除锈，对锈蚀面积较大的组件或金属清洗剂效果不佳的组件，通过配置约50%左右的混合酸除锈，主要分为草酸-硫酸-双氧水-水混合酸溶液和硝酸-盐酸-冰醋酸-水混合酸溶液，其中玻璃类组件</w:t>
            </w:r>
            <w:r>
              <w:rPr>
                <w:rFonts w:hint="default" w:ascii="Times New Roman" w:hAnsi="Times New Roman" w:eastAsia="宋体" w:cs="Times New Roman"/>
                <w:bCs/>
                <w:color w:val="000000" w:themeColor="text1"/>
                <w:sz w:val="26"/>
                <w:szCs w:val="26"/>
                <w14:textFill>
                  <w14:solidFill>
                    <w14:schemeClr w14:val="tx1"/>
                  </w14:solidFill>
                </w14:textFill>
              </w:rPr>
              <w:t>通过</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配置2%浓度的氢氟酸溶液去除玻璃表面的污渍。</w:t>
            </w:r>
            <w:r>
              <w:rPr>
                <w:rFonts w:hint="default" w:ascii="Times New Roman" w:hAnsi="Times New Roman" w:eastAsia="宋体" w:cs="Times New Roman"/>
                <w:bCs/>
                <w:color w:val="000000" w:themeColor="text1"/>
                <w:sz w:val="26"/>
                <w:szCs w:val="26"/>
                <w14:textFill>
                  <w14:solidFill>
                    <w14:schemeClr w14:val="tx1"/>
                  </w14:solidFill>
                </w14:textFill>
              </w:rPr>
              <w:t>除锈过程</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均</w:t>
            </w:r>
            <w:r>
              <w:rPr>
                <w:rFonts w:hint="default" w:ascii="Times New Roman" w:hAnsi="Times New Roman" w:eastAsia="宋体" w:cs="Times New Roman"/>
                <w:bCs/>
                <w:color w:val="000000" w:themeColor="text1"/>
                <w:sz w:val="26"/>
                <w:szCs w:val="26"/>
                <w14:textFill>
                  <w14:solidFill>
                    <w14:schemeClr w14:val="tx1"/>
                  </w14:solidFill>
                </w14:textFill>
              </w:rPr>
              <w:t>在常温常压下进行，</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溶液配制均在通风橱内进行，通过电子秤计量，人工混合配置。</w:t>
            </w:r>
            <w:r>
              <w:rPr>
                <w:rFonts w:hint="default" w:ascii="Times New Roman" w:hAnsi="Times New Roman" w:eastAsia="宋体" w:cs="Times New Roman"/>
                <w:bCs/>
                <w:color w:val="000000" w:themeColor="text1"/>
                <w:sz w:val="26"/>
                <w:szCs w:val="26"/>
                <w14:textFill>
                  <w14:solidFill>
                    <w14:schemeClr w14:val="tx1"/>
                  </w14:solidFill>
                </w14:textFill>
              </w:rPr>
              <w:t>该工序会产生酸雾（G</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4</w:t>
            </w:r>
            <w:r>
              <w:rPr>
                <w:rFonts w:hint="default" w:ascii="Times New Roman" w:hAnsi="Times New Roman" w:eastAsia="宋体" w:cs="Times New Roman"/>
                <w:bCs/>
                <w:color w:val="000000" w:themeColor="text1"/>
                <w:sz w:val="26"/>
                <w:szCs w:val="26"/>
                <w14:textFill>
                  <w14:solidFill>
                    <w14:schemeClr w14:val="tx1"/>
                  </w14:solidFill>
                </w14:textFill>
              </w:rPr>
              <w:t>）和清洗废液（W1）。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③</w:t>
            </w:r>
            <w:r>
              <w:rPr>
                <w:rFonts w:hint="default" w:ascii="Times New Roman" w:hAnsi="Times New Roman" w:eastAsia="宋体" w:cs="Times New Roman"/>
                <w:bCs/>
                <w:color w:val="000000" w:themeColor="text1"/>
                <w:sz w:val="26"/>
                <w:szCs w:val="26"/>
                <w14:textFill>
                  <w14:solidFill>
                    <w14:schemeClr w14:val="tx1"/>
                  </w14:solidFill>
                </w14:textFill>
              </w:rPr>
              <w:t>水洗：水洗</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共分为2次，第一次利用自来水冲洗，将除油、除锈后的组件放入清洗水槽中，利用流动的自来水进行冲洗，去除残留的清洗液、杂质等；然后利用纯水进行进一步清洗。扩建项目共计8个清洗水槽，规格均为1.5*0.5*0.3m，两个水槽一组，第一个水槽为自来水一次清洗，第二个水槽为纯净水二次清洗，水槽废水平均1小时排放一次，此过程会产生清洗废水（W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④干燥：清洗完成后的</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规则形状组件自然晾干或机械吹风快速风干，不规则组件或有孔洞组件</w:t>
            </w:r>
            <w:r>
              <w:rPr>
                <w:rFonts w:hint="default" w:ascii="Times New Roman" w:hAnsi="Times New Roman" w:eastAsia="宋体" w:cs="Times New Roman"/>
                <w:bCs/>
                <w:color w:val="000000" w:themeColor="text1"/>
                <w:sz w:val="26"/>
                <w:szCs w:val="26"/>
                <w14:textFill>
                  <w14:solidFill>
                    <w14:schemeClr w14:val="tx1"/>
                  </w14:solidFill>
                </w14:textFill>
              </w:rPr>
              <w:t>放入无水乙醇中，利用无水乙醇与</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水</w:t>
            </w:r>
            <w:r>
              <w:rPr>
                <w:rFonts w:hint="default" w:ascii="Times New Roman" w:hAnsi="Times New Roman" w:eastAsia="宋体" w:cs="Times New Roman"/>
                <w:bCs/>
                <w:color w:val="000000" w:themeColor="text1"/>
                <w:sz w:val="26"/>
                <w:szCs w:val="26"/>
                <w14:textFill>
                  <w14:solidFill>
                    <w14:schemeClr w14:val="tx1"/>
                  </w14:solidFill>
                </w14:textFill>
              </w:rPr>
              <w:t>的溶解度大</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的特性快速吸收组件表面的水分，工件取出后残留的乙醇迅速挥发</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使得工件快速干燥，项目设置了1个乙醇溶液槽，规格为1.5*0.5*0.3m</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会产生有机废气（G4）。</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4</w:t>
            </w:r>
            <w:r>
              <w:rPr>
                <w:rFonts w:hint="default" w:ascii="Times New Roman" w:hAnsi="Times New Roman" w:eastAsia="宋体" w:cs="Times New Roman"/>
                <w:bCs/>
                <w:color w:val="000000" w:themeColor="text1"/>
                <w:sz w:val="26"/>
                <w:szCs w:val="26"/>
                <w14:textFill>
                  <w14:solidFill>
                    <w14:schemeClr w14:val="tx1"/>
                  </w14:solidFill>
                </w14:textFill>
              </w:rPr>
              <w:t>）除气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为去除组件内部的氧气，保证产品真空度要求，</w:t>
            </w:r>
            <w:r>
              <w:rPr>
                <w:rFonts w:hint="default" w:ascii="Times New Roman" w:hAnsi="Times New Roman" w:eastAsia="宋体" w:cs="Times New Roman"/>
                <w:bCs/>
                <w:color w:val="000000" w:themeColor="text1"/>
                <w:sz w:val="26"/>
                <w:szCs w:val="26"/>
                <w14:textFill>
                  <w14:solidFill>
                    <w14:schemeClr w14:val="tx1"/>
                  </w14:solidFill>
                </w14:textFill>
              </w:rPr>
              <w:t>所有组件均要进行除气处理，将组件放入密闭除气设备后进行抽真空，并在电加热800-900℃的条件下排除组件内的空气</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真空度约-2pa。</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5</w:t>
            </w:r>
            <w:r>
              <w:rPr>
                <w:rFonts w:hint="default" w:ascii="Times New Roman" w:hAnsi="Times New Roman" w:eastAsia="宋体" w:cs="Times New Roman"/>
                <w:bCs/>
                <w:color w:val="000000" w:themeColor="text1"/>
                <w:sz w:val="26"/>
                <w:szCs w:val="26"/>
                <w14:textFill>
                  <w14:solidFill>
                    <w14:schemeClr w14:val="tx1"/>
                  </w14:solidFill>
                </w14:textFill>
              </w:rPr>
              <w:t>）银焊</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将除气后的阳极和阳极可伐采用银焊的方式焊接到一起，利用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真空</w:t>
            </w:r>
            <w:r>
              <w:rPr>
                <w:rFonts w:hint="default" w:ascii="Times New Roman" w:hAnsi="Times New Roman" w:eastAsia="宋体" w:cs="Times New Roman"/>
                <w:bCs/>
                <w:color w:val="000000" w:themeColor="text1"/>
                <w:sz w:val="26"/>
                <w:szCs w:val="26"/>
                <w14:textFill>
                  <w14:solidFill>
                    <w14:schemeClr w14:val="tx1"/>
                  </w14:solidFill>
                </w14:textFill>
              </w:rPr>
              <w:t>银焊设备进行自动热熔焊接成阳极体，焊接过程为：银铜焊丝通过电加热熔化在组件衔接处以实现热熔焊接（电加热温度700℃），焊接过程在密闭真空银焊设备内自动进行，</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无需焊接材料，因此不会产生焊接烟尘。</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6</w:t>
            </w:r>
            <w:r>
              <w:rPr>
                <w:rFonts w:hint="default" w:ascii="Times New Roman" w:hAnsi="Times New Roman" w:eastAsia="宋体" w:cs="Times New Roman"/>
                <w:bCs/>
                <w:color w:val="000000" w:themeColor="text1"/>
                <w:sz w:val="26"/>
                <w:szCs w:val="26"/>
                <w14:textFill>
                  <w14:solidFill>
                    <w14:schemeClr w14:val="tx1"/>
                  </w14:solidFill>
                </w14:textFill>
              </w:rPr>
              <w:t>）装架</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将</w:t>
            </w:r>
            <w:r>
              <w:rPr>
                <w:rFonts w:hint="default" w:ascii="Times New Roman" w:hAnsi="Times New Roman" w:eastAsia="宋体" w:cs="Times New Roman"/>
                <w:bCs/>
                <w:color w:val="000000" w:themeColor="text1"/>
                <w:sz w:val="26"/>
                <w:szCs w:val="26"/>
                <w14:textFill>
                  <w14:solidFill>
                    <w14:schemeClr w14:val="tx1"/>
                  </w14:solidFill>
                </w14:textFill>
              </w:rPr>
              <w:t>除玻壳外的所有组件进行组装，组装过程涉及点焊机、氩弧焊机（采取氩气保护气体），其焊接原理为：将工件组合后通过焊机的电极施加压力，利用电流通过接头的接触面及邻近区域产生的电阻热将其加热到熔化或塑性状态，使之形成结合的一种方法。</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点焊属于电阻焊，基本无烟尘产生，氩弧焊阶段</w:t>
            </w:r>
            <w:r>
              <w:rPr>
                <w:rFonts w:hint="default" w:ascii="Times New Roman" w:hAnsi="Times New Roman" w:eastAsia="宋体" w:cs="Times New Roman"/>
                <w:bCs/>
                <w:color w:val="000000" w:themeColor="text1"/>
                <w:sz w:val="26"/>
                <w:szCs w:val="26"/>
                <w14:textFill>
                  <w14:solidFill>
                    <w14:schemeClr w14:val="tx1"/>
                  </w14:solidFill>
                </w14:textFill>
              </w:rPr>
              <w:t>会产焊接烟尘（G</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6</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7</w:t>
            </w:r>
            <w:r>
              <w:rPr>
                <w:rFonts w:hint="default" w:ascii="Times New Roman" w:hAnsi="Times New Roman" w:eastAsia="宋体" w:cs="Times New Roman"/>
                <w:bCs/>
                <w:color w:val="000000" w:themeColor="text1"/>
                <w:sz w:val="26"/>
                <w:szCs w:val="26"/>
                <w14:textFill>
                  <w14:solidFill>
                    <w14:schemeClr w14:val="tx1"/>
                  </w14:solidFill>
                </w14:textFill>
              </w:rPr>
              <w:t>）封口</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经装架后的工件与玻璃外壳送往封口区进行封口加工，其加工过程为：封口车床喷枪中的</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丙烷</w:t>
            </w:r>
            <w:r>
              <w:rPr>
                <w:rFonts w:hint="default" w:ascii="Times New Roman" w:hAnsi="Times New Roman" w:eastAsia="宋体" w:cs="Times New Roman"/>
                <w:bCs/>
                <w:color w:val="000000" w:themeColor="text1"/>
                <w:sz w:val="26"/>
                <w:szCs w:val="26"/>
                <w14:textFill>
                  <w14:solidFill>
                    <w14:schemeClr w14:val="tx1"/>
                  </w14:solidFill>
                </w14:textFill>
              </w:rPr>
              <w:t>和氧气燃烧加热玻璃外壳，使玻璃软化以实现封口</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加热过程为敞开式直接接触加热</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会产生丙烷</w:t>
            </w:r>
            <w:r>
              <w:rPr>
                <w:rFonts w:hint="default" w:ascii="Times New Roman" w:hAnsi="Times New Roman" w:eastAsia="宋体" w:cs="Times New Roman"/>
                <w:bCs/>
                <w:color w:val="000000" w:themeColor="text1"/>
                <w:sz w:val="26"/>
                <w:szCs w:val="26"/>
                <w14:textFill>
                  <w14:solidFill>
                    <w14:schemeClr w14:val="tx1"/>
                  </w14:solidFill>
                </w14:textFill>
              </w:rPr>
              <w:t>燃烧废气（G</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2</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8</w:t>
            </w:r>
            <w:r>
              <w:rPr>
                <w:rFonts w:hint="default" w:ascii="Times New Roman" w:hAnsi="Times New Roman" w:eastAsia="宋体" w:cs="Times New Roman"/>
                <w:bCs/>
                <w:color w:val="000000" w:themeColor="text1"/>
                <w:sz w:val="26"/>
                <w:szCs w:val="26"/>
                <w14:textFill>
                  <w14:solidFill>
                    <w14:schemeClr w14:val="tx1"/>
                  </w14:solidFill>
                </w14:textFill>
              </w:rPr>
              <w:t>）排气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为了提高X射线管的工作稳定性，需对其进行抽真空排气处理</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去除玻壳内部的空气</w:t>
            </w:r>
            <w:r>
              <w:rPr>
                <w:rFonts w:hint="default" w:ascii="Times New Roman" w:hAnsi="Times New Roman" w:eastAsia="宋体" w:cs="Times New Roman"/>
                <w:bCs/>
                <w:color w:val="000000" w:themeColor="text1"/>
                <w:sz w:val="26"/>
                <w:szCs w:val="26"/>
                <w14:textFill>
                  <w14:solidFill>
                    <w14:schemeClr w14:val="tx1"/>
                  </w14:solidFill>
                </w14:textFill>
              </w:rPr>
              <w:t>，该工序由排气设备自动完成，最大电压60kV，最大电流0.5mA。</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排气原理：对射线管输送高压，使其内部产生高速运转的电子流，当高速运动的电子流轰击X射线管靶面时，会产生热量与X射线，通过加热零件使吸附的气体解吸释放出来，此时排气设备通过抽真空将气体排出，从而使射线管内达到真空状态。</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排气设备</w:t>
            </w:r>
            <w:r>
              <w:rPr>
                <w:rFonts w:hint="default" w:ascii="Times New Roman" w:hAnsi="Times New Roman" w:eastAsia="宋体" w:cs="Times New Roman"/>
                <w:bCs/>
                <w:color w:val="000000" w:themeColor="text1"/>
                <w:sz w:val="26"/>
                <w:szCs w:val="26"/>
                <w14:textFill>
                  <w14:solidFill>
                    <w14:schemeClr w14:val="tx1"/>
                  </w14:solidFill>
                </w14:textFill>
              </w:rPr>
              <w:t>真空度-6pa，烘箱温度600℃，中频功率25kw，高压</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70kv</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属于III类射线装置，已单独进行了登记备案管理</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9</w:t>
            </w:r>
            <w:r>
              <w:rPr>
                <w:rFonts w:hint="default" w:ascii="Times New Roman" w:hAnsi="Times New Roman" w:eastAsia="宋体" w:cs="Times New Roman"/>
                <w:bCs/>
                <w:color w:val="000000" w:themeColor="text1"/>
                <w:sz w:val="26"/>
                <w:szCs w:val="26"/>
                <w14:textFill>
                  <w14:solidFill>
                    <w14:schemeClr w14:val="tx1"/>
                  </w14:solidFill>
                </w14:textFill>
              </w:rPr>
              <w:t>）测试</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将成品</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放入盛有变压器油的铅箱内，铅箱规格尺寸为0.7m*0.7m*0.8m，采用不锈钢做外壳，内衬为99%的纯铅。再转移至</w:t>
            </w:r>
            <w:r>
              <w:rPr>
                <w:rFonts w:hint="default" w:ascii="Times New Roman" w:hAnsi="Times New Roman" w:eastAsia="宋体" w:cs="Times New Roman"/>
                <w:bCs/>
                <w:color w:val="000000" w:themeColor="text1"/>
                <w:sz w:val="26"/>
                <w:szCs w:val="26"/>
                <w14:textFill>
                  <w14:solidFill>
                    <w14:schemeClr w14:val="tx1"/>
                  </w14:solidFill>
                </w14:textFill>
              </w:rPr>
              <w:t>铅房内，关闭铅房后对成品通电进行老练测试，通过电脑系统对数据进行采集。测试最大管电压50~60kV，最大管电流0.5mA</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每批测试时间约45-60min，老练测试设备最高电压180kv，功率500w，属于III类射线装置，已单独进行了登记备案管理</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变压器油主要作用为冷却降温，循环使用，一年更换一次</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铅箱的主要作用为盛装变压器油和防辐射，因铅箱采用了不锈钢外壳做隔离，故工件、变压器油不含铅元素。</w:t>
            </w:r>
            <w:r>
              <w:rPr>
                <w:rFonts w:hint="default" w:ascii="Times New Roman" w:hAnsi="Times New Roman" w:eastAsia="宋体" w:cs="Times New Roman"/>
                <w:bCs/>
                <w:color w:val="000000" w:themeColor="text1"/>
                <w:sz w:val="26"/>
                <w:szCs w:val="26"/>
                <w14:textFill>
                  <w14:solidFill>
                    <w14:schemeClr w14:val="tx1"/>
                  </w14:solidFill>
                </w14:textFill>
              </w:rPr>
              <w:t>该工序</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会</w:t>
            </w:r>
            <w:r>
              <w:rPr>
                <w:rFonts w:hint="default" w:ascii="Times New Roman" w:hAnsi="Times New Roman" w:eastAsia="宋体" w:cs="Times New Roman"/>
                <w:bCs/>
                <w:color w:val="000000" w:themeColor="text1"/>
                <w:sz w:val="26"/>
                <w:szCs w:val="26"/>
                <w14:textFill>
                  <w14:solidFill>
                    <w14:schemeClr w14:val="tx1"/>
                  </w14:solidFill>
                </w14:textFill>
              </w:rPr>
              <w:t>产生电离辐射</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、不合格品（S7）和废变压油（S8）</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0</w:t>
            </w:r>
            <w:r>
              <w:rPr>
                <w:rFonts w:hint="default" w:ascii="Times New Roman" w:hAnsi="Times New Roman" w:eastAsia="宋体" w:cs="Times New Roman"/>
                <w:bCs/>
                <w:color w:val="000000" w:themeColor="text1"/>
                <w:sz w:val="26"/>
                <w:szCs w:val="26"/>
                <w14:textFill>
                  <w14:solidFill>
                    <w14:schemeClr w14:val="tx1"/>
                  </w14:solidFill>
                </w14:textFill>
              </w:rPr>
              <w:t>）编号入库</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经测试合格的成品进行编号入库。</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项目实际建设过程中取消了石墨烯镀膜检测工艺，无镀膜废气产生，其与工艺保持不变</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2.6项目变动情况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根据《</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default" w:ascii="Times New Roman" w:hAnsi="Times New Roman" w:eastAsia="宋体" w:cs="Times New Roman"/>
                <w:bCs/>
                <w:color w:val="000000" w:themeColor="text1"/>
                <w:sz w:val="26"/>
                <w:szCs w:val="26"/>
                <w14:textFill>
                  <w14:solidFill>
                    <w14:schemeClr w14:val="tx1"/>
                  </w14:solidFill>
                </w14:textFill>
              </w:rPr>
              <w:t>环境影响报告表</w:t>
            </w:r>
            <w:r>
              <w:rPr>
                <w:rFonts w:hint="default" w:ascii="Times New Roman" w:hAnsi="Times New Roman" w:eastAsia="宋体" w:cs="Times New Roman"/>
                <w:color w:val="000000" w:themeColor="text1"/>
                <w:sz w:val="26"/>
                <w:szCs w:val="26"/>
                <w14:textFill>
                  <w14:solidFill>
                    <w14:schemeClr w14:val="tx1"/>
                  </w14:solidFill>
                </w14:textFill>
              </w:rPr>
              <w:t>》及环评批复、结合现场调查，</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w:t>
            </w:r>
            <w:r>
              <w:rPr>
                <w:rFonts w:hint="default" w:ascii="Times New Roman" w:hAnsi="Times New Roman" w:eastAsia="宋体" w:cs="Times New Roman"/>
                <w:color w:val="000000" w:themeColor="text1"/>
                <w:sz w:val="26"/>
                <w:szCs w:val="26"/>
                <w14:textFill>
                  <w14:solidFill>
                    <w14:schemeClr w14:val="tx1"/>
                  </w14:solidFill>
                </w14:textFill>
              </w:rPr>
              <w:t>项目实际建成与</w:t>
            </w:r>
            <w:r>
              <w:rPr>
                <w:rFonts w:hint="default" w:ascii="Times New Roman" w:hAnsi="Times New Roman" w:eastAsia="宋体" w:cs="Times New Roman"/>
                <w:bCs/>
                <w:color w:val="000000" w:themeColor="text1"/>
                <w:sz w:val="26"/>
                <w:szCs w:val="26"/>
                <w14:textFill>
                  <w14:solidFill>
                    <w14:schemeClr w14:val="tx1"/>
                  </w14:solidFill>
                </w14:textFill>
              </w:rPr>
              <w:t>环评表及环评批复</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一致，本项目实际建成与环评表及环评批复基本一致，其变动情况如下：</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①变动内容：取消建设一般固废间、危化品仓库和危废暂存间。</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取消了石墨烯镀膜检测工艺。</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②变动分析：</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的一般固废间，但位于4楼的现有一般固废间空间盈余，且各项环保措施、安全措施均已验收通过，现有一般固废间约15m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，本项目暂存危化品所需面积约7m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原环评拟计划在厂房西北部，建设一座面积约12m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的危化品仓库，但位于4楼的现有危化品仓库空间盈余，且各项环保措施、安全措施均已验收通过，现有危化品仓库约20m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，已使用面积约6m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，本项目暂存危化品所需面积约10m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的危废暂存间，但位于4楼的现有危废暂存间空间盈余，且各项环保措施均已验收通过，现有危废暂存间约70m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，已使用面积约15m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，本项目产生的危险废物所需面积约25m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此外，一般固废间、危化品仓库和危废暂存间均位于4楼，相较于设置在1楼，更易发现污染物泄漏、迁移情况，降低了环境风险，更有利于环境保护。</w:t>
            </w:r>
          </w:p>
          <w:p>
            <w:pPr>
              <w:pStyle w:val="46"/>
              <w:keepNext w:val="0"/>
              <w:keepLines w:val="0"/>
              <w:pageBreakBefore w:val="0"/>
              <w:widowControl/>
              <w:kinsoku/>
              <w:wordWrap/>
              <w:overflowPunct/>
              <w:topLinePunct w:val="0"/>
              <w:autoSpaceDE/>
              <w:autoSpaceDN/>
              <w:bidi w:val="0"/>
              <w:adjustRightInd/>
              <w:snapToGrid/>
              <w:spacing w:line="460" w:lineRule="exact"/>
              <w:ind w:firstLine="480"/>
              <w:textAlignment w:val="auto"/>
              <w:rPr>
                <w:rFonts w:hint="default" w:eastAsia="宋体"/>
                <w:color w:val="000000" w:themeColor="text1"/>
                <w:sz w:val="26"/>
                <w:szCs w:val="26"/>
                <w:highlight w:val="none"/>
                <w:lang w:val="en-US" w:eastAsia="zh-CN"/>
                <w14:textFill>
                  <w14:solidFill>
                    <w14:schemeClr w14:val="tx1"/>
                  </w14:solidFill>
                </w14:textFill>
              </w:rPr>
            </w:pPr>
            <w:r>
              <w:rPr>
                <w:rFonts w:hint="eastAsia"/>
                <w:color w:val="000000" w:themeColor="text1"/>
                <w:sz w:val="26"/>
                <w:szCs w:val="26"/>
                <w:highlight w:val="none"/>
                <w:lang w:val="en-US" w:eastAsia="zh-CN"/>
                <w14:textFill>
                  <w14:solidFill>
                    <w14:schemeClr w14:val="tx1"/>
                  </w14:solidFill>
                </w14:textFill>
              </w:rPr>
              <w:t>项目优化了工艺流程，取消了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石墨烯镀膜检测</w:t>
            </w:r>
            <w:r>
              <w:rPr>
                <w:rFonts w:hint="eastAsia" w:cs="Times New Roman"/>
                <w:bCs/>
                <w:color w:val="000000" w:themeColor="text1"/>
                <w:sz w:val="26"/>
                <w:szCs w:val="26"/>
                <w:lang w:val="en-US" w:eastAsia="zh-CN"/>
                <w14:textFill>
                  <w14:solidFill>
                    <w14:schemeClr w14:val="tx1"/>
                  </w14:solidFill>
                </w14:textFill>
              </w:rPr>
              <w:t>工艺，无镀膜废气产生，减少了污染物的排放，更有利于环境保护</w:t>
            </w:r>
            <w:r>
              <w:rPr>
                <w:rFonts w:hint="eastAsia"/>
                <w:color w:val="000000" w:themeColor="text1"/>
                <w:sz w:val="26"/>
                <w:szCs w:val="26"/>
                <w:highlight w:val="none"/>
                <w:lang w:val="en-US" w:eastAsia="zh-CN"/>
                <w14:textFill>
                  <w14:solidFill>
                    <w14:schemeClr w14:val="tx1"/>
                  </w14:solidFill>
                </w14:textFill>
              </w:rPr>
              <w:t>。</w:t>
            </w:r>
          </w:p>
          <w:p>
            <w:pPr>
              <w:pStyle w:val="46"/>
              <w:keepNext w:val="0"/>
              <w:keepLines w:val="0"/>
              <w:pageBreakBefore w:val="0"/>
              <w:widowControl/>
              <w:kinsoku/>
              <w:wordWrap/>
              <w:overflowPunct/>
              <w:topLinePunct w:val="0"/>
              <w:autoSpaceDE/>
              <w:autoSpaceDN/>
              <w:bidi w:val="0"/>
              <w:adjustRightInd/>
              <w:snapToGrid/>
              <w:spacing w:line="460" w:lineRule="exact"/>
              <w:ind w:firstLine="480"/>
              <w:textAlignment w:val="auto"/>
              <w:rPr>
                <w:color w:val="000000" w:themeColor="text1"/>
                <w:sz w:val="26"/>
                <w:szCs w:val="26"/>
                <w:highlight w:val="none"/>
                <w14:textFill>
                  <w14:solidFill>
                    <w14:schemeClr w14:val="tx1"/>
                  </w14:solidFill>
                </w14:textFill>
              </w:rPr>
            </w:pPr>
            <w:r>
              <w:rPr>
                <w:rFonts w:hint="eastAsia"/>
                <w:color w:val="000000" w:themeColor="text1"/>
                <w:sz w:val="26"/>
                <w:szCs w:val="26"/>
                <w:highlight w:val="none"/>
                <w14:textFill>
                  <w14:solidFill>
                    <w14:schemeClr w14:val="tx1"/>
                  </w14:solidFill>
                </w14:textFill>
              </w:rPr>
              <w:t>综上，根据重庆市环境保护局《重庆市建设项目重大变动界定程序规定》（渝环发</w:t>
            </w:r>
            <w:r>
              <w:rPr>
                <w:rFonts w:hint="eastAsia"/>
                <w:color w:val="000000" w:themeColor="text1"/>
                <w:sz w:val="26"/>
                <w:szCs w:val="26"/>
                <w:highlight w:val="none"/>
                <w:lang w:eastAsia="zh-CN"/>
                <w14:textFill>
                  <w14:solidFill>
                    <w14:schemeClr w14:val="tx1"/>
                  </w14:solidFill>
                </w14:textFill>
              </w:rPr>
              <w:t>〔</w:t>
            </w:r>
            <w:r>
              <w:rPr>
                <w:rFonts w:hint="eastAsia"/>
                <w:color w:val="000000" w:themeColor="text1"/>
                <w:sz w:val="26"/>
                <w:szCs w:val="26"/>
                <w:highlight w:val="none"/>
                <w14:textFill>
                  <w14:solidFill>
                    <w14:schemeClr w14:val="tx1"/>
                  </w14:solidFill>
                </w14:textFill>
              </w:rPr>
              <w:t>2014</w:t>
            </w:r>
            <w:r>
              <w:rPr>
                <w:rFonts w:hint="eastAsia"/>
                <w:color w:val="000000" w:themeColor="text1"/>
                <w:sz w:val="26"/>
                <w:szCs w:val="26"/>
                <w:highlight w:val="none"/>
                <w:lang w:eastAsia="zh-CN"/>
                <w14:textFill>
                  <w14:solidFill>
                    <w14:schemeClr w14:val="tx1"/>
                  </w14:solidFill>
                </w14:textFill>
              </w:rPr>
              <w:t>〕</w:t>
            </w:r>
            <w:r>
              <w:rPr>
                <w:rFonts w:hint="eastAsia"/>
                <w:color w:val="000000" w:themeColor="text1"/>
                <w:sz w:val="26"/>
                <w:szCs w:val="26"/>
                <w:highlight w:val="none"/>
                <w14:textFill>
                  <w14:solidFill>
                    <w14:schemeClr w14:val="tx1"/>
                  </w14:solidFill>
                </w14:textFill>
              </w:rPr>
              <w:t>65号）以及《关于印发〈污染影响类建设项目重大变动清单（试行）〉的通知》（环办环评函〔2020〕688号），</w:t>
            </w:r>
            <w:r>
              <w:rPr>
                <w:rFonts w:hint="eastAsia" w:cs="Tahoma"/>
                <w:color w:val="000000" w:themeColor="text1"/>
                <w:kern w:val="2"/>
                <w:sz w:val="26"/>
                <w:szCs w:val="26"/>
                <w:highlight w:val="none"/>
                <w14:textFill>
                  <w14:solidFill>
                    <w14:schemeClr w14:val="tx1"/>
                  </w14:solidFill>
                </w14:textFill>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本验收项目的性质、地点、生产工艺未发生变动，</w:t>
            </w:r>
            <w:r>
              <w:rPr>
                <w:rFonts w:hint="eastAsia" w:cs="Tahoma"/>
                <w:color w:val="000000" w:themeColor="text1"/>
                <w:kern w:val="2"/>
                <w:sz w:val="26"/>
                <w:szCs w:val="26"/>
                <w:highlight w:val="none"/>
                <w:lang w:val="en-US" w:eastAsia="zh-CN"/>
                <w14:textFill>
                  <w14:solidFill>
                    <w14:schemeClr w14:val="tx1"/>
                  </w14:solidFill>
                </w14:textFill>
              </w:rPr>
              <w:t>其余变动情况</w:t>
            </w:r>
            <w:r>
              <w:rPr>
                <w:rFonts w:hint="eastAsia"/>
                <w:color w:val="000000" w:themeColor="text1"/>
                <w:sz w:val="26"/>
                <w:szCs w:val="26"/>
                <w:highlight w:val="none"/>
                <w14:textFill>
                  <w14:solidFill>
                    <w14:schemeClr w14:val="tx1"/>
                  </w14:solidFill>
                </w14:textFill>
              </w:rPr>
              <w:t>不属于重大变动。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lang w:val="en-US" w:eastAsia="zh-CN"/>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pStyle w:val="18"/>
              <w:rPr>
                <w:rFonts w:hint="default" w:ascii="Times New Roman" w:hAnsi="Times New Roman" w:eastAsia="宋体" w:cs="Times New Roman"/>
                <w:color w:val="000000" w:themeColor="text1"/>
                <w:sz w:val="24"/>
                <w:szCs w:val="24"/>
                <w14:textFill>
                  <w14:solidFill>
                    <w14:schemeClr w14:val="tx1"/>
                  </w14:solidFill>
                </w14:textFill>
              </w:rPr>
            </w:pPr>
          </w:p>
          <w:p>
            <w:pPr>
              <w:pStyle w:val="4"/>
              <w:rPr>
                <w:rFonts w:hint="default" w:ascii="Times New Roman" w:hAnsi="Times New Roman" w:eastAsia="宋体" w:cs="Times New Roman"/>
                <w:color w:val="000000" w:themeColor="text1"/>
                <w:sz w:val="24"/>
                <w:szCs w:val="24"/>
                <w14:textFill>
                  <w14:solidFill>
                    <w14:schemeClr w14:val="tx1"/>
                  </w14:solidFill>
                </w14:textFill>
              </w:rPr>
            </w:pPr>
          </w:p>
          <w:p>
            <w:pPr>
              <w:rPr>
                <w:rFonts w:hint="default" w:ascii="Times New Roman" w:hAnsi="Times New Roman" w:eastAsia="宋体" w:cs="Times New Roman"/>
                <w:color w:val="000000" w:themeColor="text1"/>
                <w:sz w:val="24"/>
                <w:szCs w:val="24"/>
                <w14:textFill>
                  <w14:solidFill>
                    <w14:schemeClr w14:val="tx1"/>
                  </w14:solidFill>
                </w14:textFill>
              </w:rPr>
            </w:pPr>
          </w:p>
          <w:p>
            <w:pPr>
              <w:pStyle w:val="18"/>
              <w:rPr>
                <w:rFonts w:hint="default" w:ascii="Times New Roman" w:hAnsi="Times New Roman" w:eastAsia="宋体" w:cs="Times New Roman"/>
                <w:color w:val="000000" w:themeColor="text1"/>
                <w:sz w:val="24"/>
                <w:szCs w:val="24"/>
                <w14:textFill>
                  <w14:solidFill>
                    <w14:schemeClr w14:val="tx1"/>
                  </w14:solidFill>
                </w14:textFill>
              </w:rPr>
            </w:pPr>
          </w:p>
          <w:p>
            <w:pPr>
              <w:pStyle w:val="4"/>
              <w:rPr>
                <w:rFonts w:hint="default" w:ascii="Times New Roman" w:hAnsi="Times New Roman" w:eastAsia="宋体" w:cs="Times New Roman"/>
                <w:color w:val="000000" w:themeColor="text1"/>
                <w:sz w:val="24"/>
                <w:szCs w:val="24"/>
                <w14:textFill>
                  <w14:solidFill>
                    <w14:schemeClr w14:val="tx1"/>
                  </w14:solidFill>
                </w14:textFill>
              </w:rPr>
            </w:pPr>
          </w:p>
          <w:p>
            <w:pPr>
              <w:rPr>
                <w:rFonts w:hint="default" w:ascii="Times New Roman" w:hAnsi="Times New Roman" w:eastAsia="宋体" w:cs="Times New Roman"/>
                <w:color w:val="000000" w:themeColor="text1"/>
                <w:sz w:val="24"/>
                <w:szCs w:val="24"/>
                <w14:textFill>
                  <w14:solidFill>
                    <w14:schemeClr w14:val="tx1"/>
                  </w14:solidFill>
                </w14:textFill>
              </w:rPr>
            </w:pPr>
          </w:p>
          <w:p>
            <w:pPr>
              <w:pStyle w:val="18"/>
              <w:rPr>
                <w:rFonts w:hint="default" w:ascii="Times New Roman" w:hAnsi="Times New Roman" w:eastAsia="宋体" w:cs="Times New Roman"/>
                <w:color w:val="000000" w:themeColor="text1"/>
                <w:sz w:val="24"/>
                <w:szCs w:val="24"/>
                <w14:textFill>
                  <w14:solidFill>
                    <w14:schemeClr w14:val="tx1"/>
                  </w14:solidFill>
                </w14:textFill>
              </w:rPr>
            </w:pPr>
          </w:p>
          <w:p>
            <w:pPr>
              <w:pStyle w:val="4"/>
              <w:rPr>
                <w:rFonts w:hint="default" w:ascii="Times New Roman" w:hAnsi="Times New Roman" w:eastAsia="宋体" w:cs="Times New Roman"/>
                <w:color w:val="000000" w:themeColor="text1"/>
                <w:sz w:val="24"/>
                <w:szCs w:val="24"/>
                <w14:textFill>
                  <w14:solidFill>
                    <w14:schemeClr w14:val="tx1"/>
                  </w14:solidFill>
                </w14:textFill>
              </w:rPr>
            </w:pPr>
          </w:p>
          <w:p>
            <w:pPr>
              <w:rPr>
                <w:rFonts w:hint="default" w:ascii="Times New Roman" w:hAnsi="Times New Roman" w:eastAsia="宋体" w:cs="Times New Roman"/>
                <w:color w:val="000000" w:themeColor="text1"/>
                <w:sz w:val="24"/>
                <w:szCs w:val="24"/>
                <w14:textFill>
                  <w14:solidFill>
                    <w14:schemeClr w14:val="tx1"/>
                  </w14:solidFill>
                </w14:textFill>
              </w:rPr>
            </w:pPr>
          </w:p>
          <w:p>
            <w:pPr>
              <w:pStyle w:val="18"/>
              <w:rPr>
                <w:rFonts w:hint="default"/>
              </w:rPr>
            </w:pPr>
          </w:p>
          <w:p>
            <w:pPr>
              <w:spacing w:after="0" w:line="460" w:lineRule="atLeas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jc w:val="both"/>
              <w:rPr>
                <w:rFonts w:hint="default" w:ascii="Times New Roman" w:hAnsi="Times New Roman" w:eastAsia="宋体" w:cs="Times New Roman"/>
                <w:color w:val="000000" w:themeColor="text1"/>
                <w:sz w:val="24"/>
                <w:szCs w:val="24"/>
                <w14:textFill>
                  <w14:solidFill>
                    <w14:schemeClr w14:val="tx1"/>
                  </w14:solidFill>
                </w14:textFill>
              </w:rPr>
            </w:pPr>
          </w:p>
        </w:tc>
      </w:tr>
    </w:tbl>
    <w:p>
      <w:pPr>
        <w:spacing w:line="460" w:lineRule="atLeast"/>
        <w:rPr>
          <w:rFonts w:hint="default" w:ascii="Times New Roman" w:hAnsi="Times New Roman" w:eastAsia="宋体" w:cs="Times New Roman"/>
          <w:color w:val="000000" w:themeColor="text1"/>
          <w:sz w:val="24"/>
          <w:szCs w:val="24"/>
          <w14:textFill>
            <w14:solidFill>
              <w14:schemeClr w14:val="tx1"/>
            </w14:solidFill>
          </w14:textFill>
        </w:rPr>
        <w:sectPr>
          <w:headerReference r:id="rId4" w:type="default"/>
          <w:footerReference r:id="rId5" w:type="default"/>
          <w:pgSz w:w="11906" w:h="16838"/>
          <w:pgMar w:top="1440" w:right="1800" w:bottom="1440" w:left="1800" w:header="708" w:footer="708" w:gutter="0"/>
          <w:pgNumType w:start="1"/>
          <w:cols w:space="720" w:num="1"/>
          <w:docGrid w:linePitch="360" w:charSpace="0"/>
        </w:sectPr>
      </w:pPr>
    </w:p>
    <w:p>
      <w:pPr>
        <w:pStyle w:val="37"/>
        <w:ind w:right="-2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主要污染源、污染物处理和排放</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3.1主要污染源、污染物处理和排放</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3.1.1废水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生产废水经自建污水处理设施（设计处理规模55m</w:t>
            </w:r>
            <w:r>
              <w:rPr>
                <w:rFonts w:hint="default" w:ascii="Times New Roman" w:hAnsi="Times New Roman" w:eastAsia="宋体" w:cs="Times New Roman"/>
                <w:bCs/>
                <w:color w:val="000000" w:themeColor="text1"/>
                <w:sz w:val="26"/>
                <w:szCs w:val="26"/>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/d）处理达《电子工业水污染物排放标准》（GB 39731-2020）表1间接标准后排入市政管网，生活污水依托金凤电子信息产业园生化池（设计处理规模450m</w:t>
            </w:r>
            <w:r>
              <w:rPr>
                <w:rFonts w:hint="default" w:ascii="Times New Roman" w:hAnsi="Times New Roman" w:eastAsia="宋体" w:cs="Times New Roman"/>
                <w:bCs/>
                <w:color w:val="000000" w:themeColor="text1"/>
                <w:sz w:val="26"/>
                <w:szCs w:val="26"/>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/d）处理达《污水综合排放标准》（GB 8978-1996）三级标准后排入市政污水管网，生产废水和生活污水再经西永污水处理厂处理达到《城镇污水处理厂污染物排放标准》（GB 18918-2002）一级A标准后排入梁滩河，最终汇入嘉陵江</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项目废水产生及治理情况见表3.1-1，项目废水处理设施照片见图3.1-1。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表3.1-1   项目废水产生及治理情况表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14"/>
              <w:gridCol w:w="1707"/>
              <w:gridCol w:w="691"/>
              <w:gridCol w:w="1069"/>
              <w:gridCol w:w="2317"/>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blHeader/>
                <w:jc w:val="center"/>
              </w:trPr>
              <w:tc>
                <w:tcPr>
                  <w:tcW w:w="45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废水类别</w:t>
                  </w:r>
                </w:p>
              </w:tc>
              <w:tc>
                <w:tcPr>
                  <w:tcW w:w="49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来源</w:t>
                  </w:r>
                </w:p>
              </w:tc>
              <w:tc>
                <w:tcPr>
                  <w:tcW w:w="10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污染物</w:t>
                  </w:r>
                </w:p>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种类</w:t>
                  </w:r>
                </w:p>
              </w:tc>
              <w:tc>
                <w:tcPr>
                  <w:tcW w:w="4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排放规律</w:t>
                  </w:r>
                </w:p>
              </w:tc>
              <w:tc>
                <w:tcPr>
                  <w:tcW w:w="64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排放量</w:t>
                  </w:r>
                </w:p>
              </w:tc>
              <w:tc>
                <w:tcPr>
                  <w:tcW w:w="139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治理设施</w:t>
                  </w:r>
                </w:p>
              </w:tc>
              <w:tc>
                <w:tcPr>
                  <w:tcW w:w="57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w:t>
                  </w:r>
                </w:p>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生产废水</w:t>
                  </w:r>
                </w:p>
              </w:tc>
              <w:tc>
                <w:tcPr>
                  <w:tcW w:w="49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生产区</w:t>
                  </w:r>
                </w:p>
              </w:tc>
              <w:tc>
                <w:tcPr>
                  <w:tcW w:w="10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sz w:val="22"/>
                      <w:szCs w:val="22"/>
                      <w:lang w:val="en-US" w:eastAsia="zh-CN"/>
                    </w:rPr>
                    <w:t>pH、</w:t>
                  </w:r>
                  <w:r>
                    <w:rPr>
                      <w:rFonts w:hint="default" w:ascii="Times New Roman" w:hAnsi="Times New Roman" w:cs="Times New Roman"/>
                      <w:color w:val="000000"/>
                      <w:sz w:val="22"/>
                      <w:szCs w:val="22"/>
                    </w:rPr>
                    <w:t>COD</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SS</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氨氮</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BOD</w:t>
                  </w:r>
                  <w:r>
                    <w:rPr>
                      <w:rFonts w:hint="default" w:ascii="Times New Roman" w:hAnsi="Times New Roman" w:cs="Times New Roman"/>
                      <w:color w:val="000000"/>
                      <w:sz w:val="22"/>
                      <w:szCs w:val="22"/>
                      <w:vertAlign w:val="subscript"/>
                    </w:rPr>
                    <w:t>5</w:t>
                  </w:r>
                  <w:r>
                    <w:rPr>
                      <w:rFonts w:hint="eastAsia" w:ascii="Times New Roman" w:hAnsi="Times New Roman" w:cs="Times New Roman"/>
                      <w:color w:val="000000"/>
                      <w:sz w:val="22"/>
                      <w:szCs w:val="22"/>
                      <w:lang w:eastAsia="zh-CN"/>
                    </w:rPr>
                    <w:t>、</w:t>
                  </w:r>
                  <w:r>
                    <w:rPr>
                      <w:rFonts w:hint="eastAsia" w:ascii="Times New Roman" w:hAnsi="Times New Roman" w:cs="Times New Roman"/>
                      <w:color w:val="000000"/>
                      <w:kern w:val="0"/>
                      <w:sz w:val="22"/>
                      <w:szCs w:val="22"/>
                      <w:lang w:val="en-US" w:eastAsia="zh-CN"/>
                    </w:rPr>
                    <w:t>总铜、总镍、石油类、氟化物、LAS</w:t>
                  </w:r>
                </w:p>
              </w:tc>
              <w:tc>
                <w:tcPr>
                  <w:tcW w:w="4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间断</w:t>
                  </w:r>
                </w:p>
              </w:tc>
              <w:tc>
                <w:tcPr>
                  <w:tcW w:w="64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highlight w:val="none"/>
                      <w:lang w:eastAsia="zh-CN"/>
                      <w14:textFill>
                        <w14:solidFill>
                          <w14:schemeClr w14:val="tx1"/>
                        </w14:solidFill>
                      </w14:textFill>
                    </w:rPr>
                  </w:pPr>
                  <w:r>
                    <w:rPr>
                      <w:rFonts w:hint="eastAsia" w:cs="Times New Roman"/>
                      <w:color w:val="000000" w:themeColor="text1"/>
                      <w:sz w:val="22"/>
                      <w:szCs w:val="22"/>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2"/>
                      <w:szCs w:val="22"/>
                      <w:highlight w:val="none"/>
                      <w14:textFill>
                        <w14:solidFill>
                          <w14:schemeClr w14:val="tx1"/>
                        </w14:solidFill>
                      </w14:textFill>
                    </w:rPr>
                    <w:t>m</w:t>
                  </w:r>
                  <w:r>
                    <w:rPr>
                      <w:rFonts w:hint="default" w:ascii="Times New Roman" w:hAnsi="Times New Roman" w:eastAsia="宋体" w:cs="Times New Roman"/>
                      <w:color w:val="000000" w:themeColor="text1"/>
                      <w:sz w:val="22"/>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2"/>
                      <w:szCs w:val="22"/>
                      <w:highlight w:val="none"/>
                      <w14:textFill>
                        <w14:solidFill>
                          <w14:schemeClr w14:val="tx1"/>
                        </w14:solidFill>
                      </w14:textFill>
                    </w:rPr>
                    <w:t>/d</w:t>
                  </w:r>
                </w:p>
              </w:tc>
              <w:tc>
                <w:tcPr>
                  <w:tcW w:w="139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经</w:t>
                  </w:r>
                  <w:r>
                    <w:rPr>
                      <w:rFonts w:hint="eastAsia" w:ascii="Times New Roman" w:hAnsi="Times New Roman" w:eastAsia="宋体" w:cs="Times New Roman"/>
                      <w:snapToGrid w:val="0"/>
                      <w:color w:val="000000" w:themeColor="text1"/>
                      <w:kern w:val="2"/>
                      <w:sz w:val="22"/>
                      <w:szCs w:val="22"/>
                      <w:lang w:val="en-US" w:eastAsia="zh-CN"/>
                      <w14:textFill>
                        <w14:solidFill>
                          <w14:schemeClr w14:val="tx1"/>
                        </w14:solidFill>
                      </w14:textFill>
                    </w:rPr>
                    <w:t>自建污水处理设施</w:t>
                  </w:r>
                  <w:r>
                    <w:rPr>
                      <w:rFonts w:hint="eastAsia" w:ascii="Times New Roman" w:hAnsi="Times New Roman" w:cs="Times New Roman"/>
                      <w:snapToGrid w:val="0"/>
                      <w:color w:val="000000" w:themeColor="text1"/>
                      <w:kern w:val="2"/>
                      <w:sz w:val="22"/>
                      <w:szCs w:val="22"/>
                      <w:lang w:val="en-US" w:eastAsia="zh-CN"/>
                      <w14:textFill>
                        <w14:solidFill>
                          <w14:schemeClr w14:val="tx1"/>
                        </w14:solidFill>
                      </w14:textFill>
                    </w:rPr>
                    <w:t>处理</w:t>
                  </w:r>
                  <w:r>
                    <w:rPr>
                      <w:rFonts w:hint="default" w:ascii="Times New Roman" w:hAnsi="Times New Roman" w:eastAsia="宋体" w:cs="Times New Roman"/>
                      <w:color w:val="000000" w:themeColor="text1"/>
                      <w:sz w:val="22"/>
                      <w:szCs w:val="22"/>
                      <w:lang w:val="en-GB"/>
                      <w14:textFill>
                        <w14:solidFill>
                          <w14:schemeClr w14:val="tx1"/>
                        </w14:solidFill>
                      </w14:textFill>
                    </w:rPr>
                    <w:t>（处理能力</w:t>
                  </w:r>
                  <w:r>
                    <w:rPr>
                      <w:rFonts w:hint="eastAsia" w:cs="Times New Roman"/>
                      <w:color w:val="000000" w:themeColor="text1"/>
                      <w:sz w:val="22"/>
                      <w:szCs w:val="22"/>
                      <w:lang w:val="en-US" w:eastAsia="zh-CN"/>
                      <w14:textFill>
                        <w14:solidFill>
                          <w14:schemeClr w14:val="tx1"/>
                        </w14:solidFill>
                      </w14:textFill>
                    </w:rPr>
                    <w:t>55</w:t>
                  </w:r>
                  <w:r>
                    <w:rPr>
                      <w:rFonts w:hint="default" w:ascii="Times New Roman" w:hAnsi="Times New Roman" w:eastAsia="宋体" w:cs="Times New Roman"/>
                      <w:color w:val="000000" w:themeColor="text1"/>
                      <w:sz w:val="22"/>
                      <w:szCs w:val="22"/>
                      <w:lang w:val="en-GB"/>
                      <w14:textFill>
                        <w14:solidFill>
                          <w14:schemeClr w14:val="tx1"/>
                        </w14:solidFill>
                      </w14:textFill>
                    </w:rPr>
                    <w:t>m</w:t>
                  </w:r>
                  <w:r>
                    <w:rPr>
                      <w:rFonts w:hint="default" w:ascii="Times New Roman" w:hAnsi="Times New Roman" w:eastAsia="宋体" w:cs="Times New Roman"/>
                      <w:color w:val="000000" w:themeColor="text1"/>
                      <w:sz w:val="22"/>
                      <w:szCs w:val="22"/>
                      <w:vertAlign w:val="superscript"/>
                      <w:lang w:val="en-GB"/>
                      <w14:textFill>
                        <w14:solidFill>
                          <w14:schemeClr w14:val="tx1"/>
                        </w14:solidFill>
                      </w14:textFill>
                    </w:rPr>
                    <w:t>3</w:t>
                  </w:r>
                  <w:r>
                    <w:rPr>
                      <w:rFonts w:hint="default" w:ascii="Times New Roman" w:hAnsi="Times New Roman" w:eastAsia="宋体" w:cs="Times New Roman"/>
                      <w:color w:val="000000" w:themeColor="text1"/>
                      <w:sz w:val="22"/>
                      <w:szCs w:val="22"/>
                      <w:lang w:val="en-GB"/>
                      <w14:textFill>
                        <w14:solidFill>
                          <w14:schemeClr w14:val="tx1"/>
                        </w14:solidFill>
                      </w14:textFill>
                    </w:rPr>
                    <w:t>/d）</w:t>
                  </w:r>
                  <w:r>
                    <w:rPr>
                      <w:rFonts w:hint="eastAsia" w:cs="Times New Roman"/>
                      <w:color w:val="000000" w:themeColor="text1"/>
                      <w:sz w:val="22"/>
                      <w:szCs w:val="22"/>
                      <w:lang w:val="en-GB" w:eastAsia="zh-CN"/>
                      <w14:textFill>
                        <w14:solidFill>
                          <w14:schemeClr w14:val="tx1"/>
                        </w14:solidFill>
                      </w14:textFill>
                    </w:rPr>
                    <w:t>，</w:t>
                  </w:r>
                  <w:r>
                    <w:rPr>
                      <w:rFonts w:hint="eastAsia"/>
                      <w:color w:val="000000"/>
                      <w:sz w:val="22"/>
                      <w:szCs w:val="22"/>
                      <w:lang w:val="en-US" w:eastAsia="zh-CN"/>
                    </w:rPr>
                    <w:t>处理工艺为“中和反应+沉淀+活性炭吸附+pH调节”</w:t>
                  </w:r>
                  <w:r>
                    <w:rPr>
                      <w:rFonts w:hint="default" w:ascii="Times New Roman" w:hAnsi="Times New Roman" w:eastAsia="宋体" w:cs="Times New Roman"/>
                      <w:color w:val="000000" w:themeColor="text1"/>
                      <w:sz w:val="22"/>
                      <w:szCs w:val="22"/>
                      <w:lang w:val="en-GB"/>
                      <w14:textFill>
                        <w14:solidFill>
                          <w14:schemeClr w14:val="tx1"/>
                        </w14:solidFill>
                      </w14:textFill>
                    </w:rPr>
                    <w:t>。</w:t>
                  </w:r>
                  <w:r>
                    <w:rPr>
                      <w:rFonts w:hint="eastAsia" w:cs="Times New Roman"/>
                      <w:color w:val="000000" w:themeColor="text1"/>
                      <w:sz w:val="22"/>
                      <w:szCs w:val="22"/>
                      <w:highlight w:val="none"/>
                      <w:lang w:eastAsia="zh-CN"/>
                      <w14:textFill>
                        <w14:solidFill>
                          <w14:schemeClr w14:val="tx1"/>
                        </w14:solidFill>
                      </w14:textFill>
                    </w:rPr>
                    <w:t>（</w:t>
                  </w:r>
                  <w:r>
                    <w:rPr>
                      <w:rFonts w:hint="eastAsia" w:cs="Times New Roman"/>
                      <w:color w:val="000000" w:themeColor="text1"/>
                      <w:sz w:val="22"/>
                      <w:szCs w:val="22"/>
                      <w:highlight w:val="none"/>
                      <w:lang w:val="en-US" w:eastAsia="zh-CN"/>
                      <w14:textFill>
                        <w14:solidFill>
                          <w14:schemeClr w14:val="tx1"/>
                        </w14:solidFill>
                      </w14:textFill>
                    </w:rPr>
                    <w:t>含镍废水预处理设施10m</w:t>
                  </w:r>
                  <w:r>
                    <w:rPr>
                      <w:rFonts w:hint="default" w:ascii="Times New Roman" w:hAnsi="Times New Roman" w:eastAsia="宋体" w:cs="Times New Roman"/>
                      <w:color w:val="000000" w:themeColor="text1"/>
                      <w:sz w:val="22"/>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2"/>
                      <w:szCs w:val="22"/>
                      <w:highlight w:val="none"/>
                      <w14:textFill>
                        <w14:solidFill>
                          <w14:schemeClr w14:val="tx1"/>
                        </w14:solidFill>
                      </w14:textFill>
                    </w:rPr>
                    <w:t>/d</w:t>
                  </w:r>
                  <w:r>
                    <w:rPr>
                      <w:rFonts w:hint="eastAsia" w:cs="Times New Roman"/>
                      <w:color w:val="000000" w:themeColor="text1"/>
                      <w:sz w:val="22"/>
                      <w:szCs w:val="22"/>
                      <w:highlight w:val="none"/>
                      <w:lang w:eastAsia="zh-CN"/>
                      <w14:textFill>
                        <w14:solidFill>
                          <w14:schemeClr w14:val="tx1"/>
                        </w14:solidFill>
                      </w14:textFill>
                    </w:rPr>
                    <w:t>）</w:t>
                  </w:r>
                </w:p>
              </w:tc>
              <w:tc>
                <w:tcPr>
                  <w:tcW w:w="57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西永</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生活污水</w:t>
                  </w:r>
                </w:p>
              </w:tc>
              <w:tc>
                <w:tcPr>
                  <w:tcW w:w="49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职工办公区</w:t>
                  </w:r>
                </w:p>
              </w:tc>
              <w:tc>
                <w:tcPr>
                  <w:tcW w:w="10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sz w:val="22"/>
                      <w:szCs w:val="22"/>
                      <w:lang w:val="en-US" w:eastAsia="zh-CN"/>
                    </w:rPr>
                    <w:t>pH、</w:t>
                  </w:r>
                  <w:r>
                    <w:rPr>
                      <w:rFonts w:hint="default" w:ascii="Times New Roman" w:hAnsi="Times New Roman" w:cs="Times New Roman"/>
                      <w:color w:val="000000"/>
                      <w:sz w:val="22"/>
                      <w:szCs w:val="22"/>
                    </w:rPr>
                    <w:t>COD</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SS</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氨氮</w:t>
                  </w:r>
                  <w:r>
                    <w:rPr>
                      <w:rFonts w:hint="eastAsia" w:ascii="Times New Roman" w:hAnsi="Times New Roman" w:cs="Times New Roman"/>
                      <w:color w:val="000000"/>
                      <w:sz w:val="22"/>
                      <w:szCs w:val="22"/>
                      <w:lang w:eastAsia="zh-CN"/>
                    </w:rPr>
                    <w:t>、</w:t>
                  </w:r>
                  <w:r>
                    <w:rPr>
                      <w:rFonts w:hint="default" w:ascii="Times New Roman" w:hAnsi="Times New Roman" w:cs="Times New Roman"/>
                      <w:color w:val="000000"/>
                      <w:sz w:val="22"/>
                      <w:szCs w:val="22"/>
                    </w:rPr>
                    <w:t>BOD</w:t>
                  </w:r>
                  <w:r>
                    <w:rPr>
                      <w:rFonts w:hint="default" w:ascii="Times New Roman" w:hAnsi="Times New Roman" w:cs="Times New Roman"/>
                      <w:color w:val="000000"/>
                      <w:sz w:val="22"/>
                      <w:szCs w:val="22"/>
                      <w:vertAlign w:val="subscript"/>
                    </w:rPr>
                    <w:t>5</w:t>
                  </w:r>
                </w:p>
              </w:tc>
              <w:tc>
                <w:tcPr>
                  <w:tcW w:w="4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间断</w:t>
                  </w:r>
                </w:p>
              </w:tc>
              <w:tc>
                <w:tcPr>
                  <w:tcW w:w="64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highlight w:val="none"/>
                      <w:lang w:val="en-US" w:eastAsia="zh-CN"/>
                      <w14:textFill>
                        <w14:solidFill>
                          <w14:schemeClr w14:val="tx1"/>
                        </w14:solidFill>
                      </w14:textFill>
                    </w:rPr>
                  </w:pPr>
                  <w:r>
                    <w:rPr>
                      <w:rFonts w:hint="eastAsia" w:cs="Times New Roman"/>
                      <w:color w:val="000000" w:themeColor="text1"/>
                      <w:sz w:val="22"/>
                      <w:szCs w:val="22"/>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2"/>
                      <w:szCs w:val="22"/>
                      <w:highlight w:val="none"/>
                      <w14:textFill>
                        <w14:solidFill>
                          <w14:schemeClr w14:val="tx1"/>
                        </w14:solidFill>
                      </w14:textFill>
                    </w:rPr>
                    <w:t>m</w:t>
                  </w:r>
                  <w:r>
                    <w:rPr>
                      <w:rFonts w:hint="default" w:ascii="Times New Roman" w:hAnsi="Times New Roman" w:eastAsia="宋体" w:cs="Times New Roman"/>
                      <w:color w:val="000000" w:themeColor="text1"/>
                      <w:sz w:val="22"/>
                      <w:szCs w:val="2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2"/>
                      <w:szCs w:val="22"/>
                      <w:highlight w:val="none"/>
                      <w14:textFill>
                        <w14:solidFill>
                          <w14:schemeClr w14:val="tx1"/>
                        </w14:solidFill>
                      </w14:textFill>
                    </w:rPr>
                    <w:t>/d</w:t>
                  </w:r>
                </w:p>
              </w:tc>
              <w:tc>
                <w:tcPr>
                  <w:tcW w:w="139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000000" w:themeColor="text1"/>
                      <w:sz w:val="22"/>
                      <w:szCs w:val="22"/>
                      <w:lang w:val="en-US" w:eastAsia="zh-CN"/>
                      <w14:textFill>
                        <w14:solidFill>
                          <w14:schemeClr w14:val="tx1"/>
                        </w14:solidFill>
                      </w14:textFill>
                    </w:rPr>
                  </w:pPr>
                  <w:r>
                    <w:rPr>
                      <w:rFonts w:hint="eastAsia"/>
                      <w:color w:val="000000"/>
                      <w:sz w:val="22"/>
                      <w:szCs w:val="22"/>
                      <w:lang w:val="en-US" w:eastAsia="zh-CN"/>
                    </w:rPr>
                    <w:t>生活污水依托已建生化池处理后排入市政管网</w:t>
                  </w:r>
                  <w:r>
                    <w:rPr>
                      <w:rFonts w:hint="eastAsia"/>
                      <w:color w:val="000000"/>
                      <w:sz w:val="22"/>
                      <w:szCs w:val="22"/>
                      <w:lang w:eastAsia="zh-CN"/>
                    </w:rPr>
                    <w:t>，</w:t>
                  </w:r>
                  <w:r>
                    <w:rPr>
                      <w:rFonts w:hint="eastAsia"/>
                      <w:color w:val="000000"/>
                      <w:sz w:val="22"/>
                      <w:szCs w:val="22"/>
                      <w:lang w:val="en-US" w:eastAsia="zh-CN"/>
                    </w:rPr>
                    <w:t>生化池设计处理规模为450m</w:t>
                  </w:r>
                  <w:r>
                    <w:rPr>
                      <w:rFonts w:hint="eastAsia"/>
                      <w:color w:val="000000"/>
                      <w:sz w:val="22"/>
                      <w:szCs w:val="22"/>
                      <w:vertAlign w:val="superscript"/>
                      <w:lang w:val="en-US" w:eastAsia="zh-CN"/>
                    </w:rPr>
                    <w:t>3</w:t>
                  </w:r>
                  <w:r>
                    <w:rPr>
                      <w:rFonts w:hint="eastAsia"/>
                      <w:color w:val="000000"/>
                      <w:sz w:val="22"/>
                      <w:szCs w:val="22"/>
                      <w:lang w:val="en-US" w:eastAsia="zh-CN"/>
                    </w:rPr>
                    <w:t>/d，处理工艺为“调节+厌氧+沉淀”。</w:t>
                  </w:r>
                </w:p>
              </w:tc>
              <w:tc>
                <w:tcPr>
                  <w:tcW w:w="57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西永</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污水处理厂</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color w:val="000000" w:themeColor="text1"/>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项目废</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水</w:t>
            </w:r>
            <w:r>
              <w:rPr>
                <w:rFonts w:hint="default" w:ascii="Times New Roman" w:hAnsi="Times New Roman" w:eastAsia="宋体" w:cs="Times New Roman"/>
                <w:bCs/>
                <w:color w:val="000000" w:themeColor="text1"/>
                <w:sz w:val="26"/>
                <w:szCs w:val="26"/>
                <w14:textFill>
                  <w14:solidFill>
                    <w14:schemeClr w14:val="tx1"/>
                  </w14:solidFill>
                </w14:textFill>
              </w:rPr>
              <w:t>处理设施照片见图3.1-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1</w:t>
            </w:r>
            <w:r>
              <w:rPr>
                <w:rFonts w:hint="default" w:ascii="Times New Roman" w:hAnsi="Times New Roman" w:eastAsia="宋体" w:cs="Times New Roman"/>
                <w:bCs/>
                <w:color w:val="000000" w:themeColor="text1"/>
                <w:sz w:val="26"/>
                <w:szCs w:val="26"/>
                <w14:textFill>
                  <w14:solidFill>
                    <w14:schemeClr w14:val="tx1"/>
                  </w14:solidFill>
                </w14:textFill>
              </w:rPr>
              <w:t>。</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drawing>
                      <wp:inline distT="0" distB="0" distL="114300" distR="114300">
                        <wp:extent cx="2453640" cy="1838325"/>
                        <wp:effectExtent l="0" t="0" r="3810" b="9525"/>
                        <wp:docPr id="5" name="图片 5" descr="b33977c8329571298275bc6305ad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3977c8329571298275bc6305ad31a"/>
                                <pic:cNvPicPr>
                                  <a:picLocks noChangeAspect="1"/>
                                </pic:cNvPicPr>
                              </pic:nvPicPr>
                              <pic:blipFill>
                                <a:blip r:embed="rId15"/>
                                <a:stretch>
                                  <a:fillRect/>
                                </a:stretch>
                              </pic:blipFill>
                              <pic:spPr>
                                <a:xfrm>
                                  <a:off x="0" y="0"/>
                                  <a:ext cx="2453640" cy="1838325"/>
                                </a:xfrm>
                                <a:prstGeom prst="rect">
                                  <a:avLst/>
                                </a:prstGeom>
                              </pic:spPr>
                            </pic:pic>
                          </a:graphicData>
                        </a:graphic>
                      </wp:inline>
                    </w:drawing>
                  </w:r>
                  <w:r>
                    <w:rPr>
                      <w:rFonts w:hint="default" w:ascii="Times New Roman" w:hAnsi="Times New Roman" w:eastAsia="宋体" w:cs="Times New Roman"/>
                      <w:color w:val="000000" w:themeColor="text1"/>
                      <w:sz w:val="22"/>
                      <w:szCs w:val="22"/>
                      <w14:textFill>
                        <w14:solidFill>
                          <w14:schemeClr w14:val="tx1"/>
                        </w14:solidFill>
                      </w14:textFill>
                    </w:rPr>
                    <w:br w:type="page"/>
                  </w:r>
                </w:p>
              </w:tc>
              <w:tc>
                <w:tcPr>
                  <w:tcW w:w="253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18410" cy="1886585"/>
                        <wp:effectExtent l="0" t="0" r="15240" b="18415"/>
                        <wp:docPr id="15" name="图片 15" descr="dc92ec6bf533bcc6d0c59f66e7df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92ec6bf533bcc6d0c59f66e7dfece"/>
                                <pic:cNvPicPr>
                                  <a:picLocks noChangeAspect="1"/>
                                </pic:cNvPicPr>
                              </pic:nvPicPr>
                              <pic:blipFill>
                                <a:blip r:embed="rId16"/>
                                <a:stretch>
                                  <a:fillRect/>
                                </a:stretch>
                              </pic:blipFill>
                              <pic:spPr>
                                <a:xfrm>
                                  <a:off x="0" y="0"/>
                                  <a:ext cx="2518410" cy="1886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收集设施</w:t>
                  </w:r>
                </w:p>
              </w:tc>
              <w:tc>
                <w:tcPr>
                  <w:tcW w:w="253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53640" cy="1838325"/>
                        <wp:effectExtent l="0" t="0" r="3810" b="9525"/>
                        <wp:docPr id="16" name="图片 16" descr="ebd66b0a8888c58ef48474531482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bd66b0a8888c58ef484745314823d4"/>
                                <pic:cNvPicPr>
                                  <a:picLocks noChangeAspect="1"/>
                                </pic:cNvPicPr>
                              </pic:nvPicPr>
                              <pic:blipFill>
                                <a:blip r:embed="rId17"/>
                                <a:stretch>
                                  <a:fillRect/>
                                </a:stretch>
                              </pic:blipFill>
                              <pic:spPr>
                                <a:xfrm>
                                  <a:off x="0" y="0"/>
                                  <a:ext cx="2453640" cy="1838325"/>
                                </a:xfrm>
                                <a:prstGeom prst="rect">
                                  <a:avLst/>
                                </a:prstGeom>
                              </pic:spPr>
                            </pic:pic>
                          </a:graphicData>
                        </a:graphic>
                      </wp:inline>
                    </w:drawing>
                  </w:r>
                </w:p>
              </w:tc>
              <w:tc>
                <w:tcPr>
                  <w:tcW w:w="253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18410" cy="1886585"/>
                        <wp:effectExtent l="0" t="0" r="15240" b="18415"/>
                        <wp:docPr id="17" name="图片 17" descr="dac809cfac4e5e118ffef08f41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c809cfac4e5e118ffef08f4171705"/>
                                <pic:cNvPicPr>
                                  <a:picLocks noChangeAspect="1"/>
                                </pic:cNvPicPr>
                              </pic:nvPicPr>
                              <pic:blipFill>
                                <a:blip r:embed="rId18"/>
                                <a:stretch>
                                  <a:fillRect/>
                                </a:stretch>
                              </pic:blipFill>
                              <pic:spPr>
                                <a:xfrm>
                                  <a:off x="0" y="0"/>
                                  <a:ext cx="2518410" cy="1886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管道可视化及标识</w:t>
                  </w:r>
                </w:p>
              </w:tc>
              <w:tc>
                <w:tcPr>
                  <w:tcW w:w="253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废水排口</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图3.1-1   项目废水处理设施照片</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3.1.2废气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bCs/>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GB" w:eastAsia="zh-CN"/>
                <w14:textFill>
                  <w14:solidFill>
                    <w14:schemeClr w14:val="tx1"/>
                  </w14:solidFill>
                </w14:textFill>
              </w:rPr>
              <w:t>项目产生的酸雾和有机废气通过集气设施收集，进入1套“碱液喷淋+除雾+活性炭吸附”装置处理后经15m高排气筒排放。机加工产生的金属粉尘经磨床自带吸尘装置收集处理后无组织排放。丙烷燃烧废气呈无组织排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项目废气产生及治理情况见表3.1-2，项目废</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气</w:t>
            </w:r>
            <w:r>
              <w:rPr>
                <w:rFonts w:hint="default" w:ascii="Times New Roman" w:hAnsi="Times New Roman" w:eastAsia="宋体" w:cs="Times New Roman"/>
                <w:bCs/>
                <w:color w:val="000000" w:themeColor="text1"/>
                <w:sz w:val="26"/>
                <w:szCs w:val="26"/>
                <w14:textFill>
                  <w14:solidFill>
                    <w14:schemeClr w14:val="tx1"/>
                  </w14:solidFill>
                </w14:textFill>
              </w:rPr>
              <w:t>处理设施照片见图3.1-2。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表3.1-2   项目废气产生及治理情况表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74"/>
              <w:gridCol w:w="1311"/>
              <w:gridCol w:w="1310"/>
              <w:gridCol w:w="3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7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废气名称</w:t>
                  </w:r>
                </w:p>
              </w:tc>
              <w:tc>
                <w:tcPr>
                  <w:tcW w:w="58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来源</w:t>
                  </w:r>
                </w:p>
              </w:tc>
              <w:tc>
                <w:tcPr>
                  <w:tcW w:w="79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污染物种类</w:t>
                  </w:r>
                </w:p>
              </w:tc>
              <w:tc>
                <w:tcPr>
                  <w:tcW w:w="7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排放形式</w:t>
                  </w:r>
                </w:p>
              </w:tc>
              <w:tc>
                <w:tcPr>
                  <w:tcW w:w="226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生产废气</w:t>
                  </w:r>
                </w:p>
              </w:tc>
              <w:tc>
                <w:tcPr>
                  <w:tcW w:w="58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清洗</w:t>
                  </w:r>
                </w:p>
              </w:tc>
              <w:tc>
                <w:tcPr>
                  <w:tcW w:w="79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cs="Times New Roman"/>
                      <w:color w:val="000000"/>
                      <w:kern w:val="0"/>
                      <w:sz w:val="22"/>
                      <w:szCs w:val="22"/>
                      <w:lang w:val="en-US" w:eastAsia="zh-CN"/>
                    </w:rPr>
                    <w:t>氯化氢</w:t>
                  </w:r>
                  <w:r>
                    <w:rPr>
                      <w:rFonts w:hint="eastAsia" w:ascii="Times New Roman" w:hAnsi="Times New Roman" w:cs="Times New Roman"/>
                      <w:color w:val="000000"/>
                      <w:kern w:val="0"/>
                      <w:sz w:val="22"/>
                      <w:szCs w:val="22"/>
                      <w:lang w:val="en-US" w:eastAsia="zh-CN"/>
                    </w:rPr>
                    <w:t>、</w:t>
                  </w:r>
                  <w:r>
                    <w:rPr>
                      <w:rFonts w:hint="default" w:ascii="Times New Roman" w:hAnsi="Times New Roman" w:cs="Times New Roman"/>
                      <w:color w:val="000000"/>
                      <w:kern w:val="0"/>
                      <w:sz w:val="22"/>
                      <w:szCs w:val="22"/>
                      <w:lang w:val="en-US" w:eastAsia="zh-CN"/>
                    </w:rPr>
                    <w:t>硫酸雾</w:t>
                  </w:r>
                  <w:r>
                    <w:rPr>
                      <w:rFonts w:hint="eastAsia" w:ascii="Times New Roman" w:hAnsi="Times New Roman" w:cs="Times New Roman"/>
                      <w:color w:val="000000"/>
                      <w:kern w:val="0"/>
                      <w:sz w:val="22"/>
                      <w:szCs w:val="22"/>
                      <w:lang w:val="en-US" w:eastAsia="zh-CN"/>
                    </w:rPr>
                    <w:t>、</w:t>
                  </w:r>
                  <w:r>
                    <w:rPr>
                      <w:rFonts w:hint="default" w:ascii="Times New Roman" w:hAnsi="Times New Roman" w:cs="Times New Roman"/>
                      <w:color w:val="000000"/>
                      <w:kern w:val="0"/>
                      <w:sz w:val="22"/>
                      <w:szCs w:val="22"/>
                      <w:lang w:val="en-US" w:eastAsia="zh-CN"/>
                    </w:rPr>
                    <w:t>氟化物</w:t>
                  </w:r>
                  <w:r>
                    <w:rPr>
                      <w:rFonts w:hint="eastAsia" w:ascii="Times New Roman" w:hAnsi="Times New Roman" w:cs="Times New Roman"/>
                      <w:color w:val="000000"/>
                      <w:kern w:val="0"/>
                      <w:sz w:val="22"/>
                      <w:szCs w:val="22"/>
                      <w:lang w:val="en-US" w:eastAsia="zh-CN"/>
                    </w:rPr>
                    <w:t>、</w:t>
                  </w:r>
                  <w:r>
                    <w:rPr>
                      <w:rFonts w:hint="default" w:ascii="Times New Roman" w:hAnsi="Times New Roman" w:cs="Times New Roman"/>
                      <w:color w:val="000000"/>
                      <w:kern w:val="0"/>
                      <w:sz w:val="22"/>
                      <w:szCs w:val="22"/>
                      <w:lang w:val="en-US" w:eastAsia="zh-CN"/>
                    </w:rPr>
                    <w:t>氮氧化物</w:t>
                  </w:r>
                  <w:r>
                    <w:rPr>
                      <w:rFonts w:hint="eastAsia" w:ascii="Times New Roman" w:hAnsi="Times New Roman" w:cs="Times New Roman"/>
                      <w:color w:val="000000"/>
                      <w:kern w:val="0"/>
                      <w:sz w:val="22"/>
                      <w:szCs w:val="22"/>
                      <w:lang w:val="en-US" w:eastAsia="zh-CN"/>
                    </w:rPr>
                    <w:t>、</w:t>
                  </w:r>
                  <w:r>
                    <w:rPr>
                      <w:rFonts w:hint="default" w:ascii="Times New Roman" w:hAnsi="Times New Roman" w:cs="Times New Roman"/>
                      <w:iCs/>
                      <w:color w:val="000000"/>
                      <w:sz w:val="22"/>
                      <w:szCs w:val="22"/>
                    </w:rPr>
                    <w:t>非甲烷总烃</w:t>
                  </w:r>
                </w:p>
              </w:tc>
              <w:tc>
                <w:tcPr>
                  <w:tcW w:w="7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有组织排放</w:t>
                  </w:r>
                </w:p>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无组织排放</w:t>
                  </w:r>
                </w:p>
              </w:tc>
              <w:tc>
                <w:tcPr>
                  <w:tcW w:w="226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lang w:val="en-GB" w:eastAsia="zh-CN"/>
                      <w14:textFill>
                        <w14:solidFill>
                          <w14:schemeClr w14:val="tx1"/>
                        </w14:solidFill>
                      </w14:textFill>
                    </w:rPr>
                    <w:t>“碱液喷淋+除雾+活性炭吸附”装置处理后经15m高排气筒排放</w:t>
                  </w:r>
                  <w:r>
                    <w:rPr>
                      <w:rFonts w:hint="eastAsia" w:cs="Times New Roman"/>
                      <w:color w:val="000000" w:themeColor="text1"/>
                      <w:sz w:val="22"/>
                      <w:szCs w:val="22"/>
                      <w:lang w:val="en-GB" w:eastAsia="zh-CN"/>
                      <w14:textFill>
                        <w14:solidFill>
                          <w14:schemeClr w14:val="tx1"/>
                        </w14:solidFill>
                      </w14:textFill>
                    </w:rPr>
                    <w:t>，机加工产生的金属粉尘经磨床自带吸尘装置收集处理后无组织排放。丙烷燃烧废气呈无组织排放。</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项目废气处理设施照片见图3.1-2。</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0"/>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drawing>
                      <wp:inline distT="0" distB="0" distL="114300" distR="114300">
                        <wp:extent cx="2502535" cy="1874520"/>
                        <wp:effectExtent l="0" t="0" r="12065" b="11430"/>
                        <wp:docPr id="18" name="图片 18" descr="f2b801389d01463b685c688686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2b801389d01463b685c68868611672"/>
                                <pic:cNvPicPr>
                                  <a:picLocks noChangeAspect="1"/>
                                </pic:cNvPicPr>
                              </pic:nvPicPr>
                              <pic:blipFill>
                                <a:blip r:embed="rId19"/>
                                <a:stretch>
                                  <a:fillRect/>
                                </a:stretch>
                              </pic:blipFill>
                              <pic:spPr>
                                <a:xfrm>
                                  <a:off x="0" y="0"/>
                                  <a:ext cx="2502535" cy="1874520"/>
                                </a:xfrm>
                                <a:prstGeom prst="rect">
                                  <a:avLst/>
                                </a:prstGeom>
                              </pic:spPr>
                            </pic:pic>
                          </a:graphicData>
                        </a:graphic>
                      </wp:inline>
                    </w:drawing>
                  </w:r>
                  <w:r>
                    <w:rPr>
                      <w:rFonts w:hint="default" w:ascii="Times New Roman" w:hAnsi="Times New Roman" w:eastAsia="宋体" w:cs="Times New Roman"/>
                      <w:color w:val="000000" w:themeColor="text1"/>
                      <w:sz w:val="22"/>
                      <w:szCs w:val="22"/>
                      <w14:textFill>
                        <w14:solidFill>
                          <w14:schemeClr w14:val="tx1"/>
                        </w14:solidFill>
                      </w14:textFill>
                    </w:rPr>
                    <w:br w:type="page"/>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753110</wp:posOffset>
                            </wp:positionH>
                            <wp:positionV relativeFrom="paragraph">
                              <wp:posOffset>211455</wp:posOffset>
                            </wp:positionV>
                            <wp:extent cx="147320" cy="597535"/>
                            <wp:effectExtent l="46990" t="0" r="72390" b="13335"/>
                            <wp:wrapNone/>
                            <wp:docPr id="22" name="上箭头 22"/>
                            <wp:cNvGraphicFramePr/>
                            <a:graphic xmlns:a="http://schemas.openxmlformats.org/drawingml/2006/main">
                              <a:graphicData uri="http://schemas.microsoft.com/office/word/2010/wordprocessingShape">
                                <wps:wsp>
                                  <wps:cNvSpPr/>
                                  <wps:spPr>
                                    <a:xfrm rot="900000">
                                      <a:off x="0" y="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9.3pt;margin-top:16.65pt;height:47.05pt;width:11.6pt;rotation:983040f;z-index:251662336;v-text-anchor:middle;mso-width-relative:page;mso-height-relative:page;" fillcolor="#FF0000" filled="t" stroked="t" coordsize="21600,21600" o:gfxdata="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BTZ33WAAAACgEAAA8AAAAAAAAAAQAg&#10;AAAAIgAAAGRycy9kb3ducmV2LnhtbFBLAQIUABQAAAAIAIdO4kCOS9zRggIAAAgFAAAOAAAAAAAA&#10;AAEAIAAAACUBAABkcnMvZTJvRG9jLnhtbFBLBQYAAAAABgAGAFkBAAAZBgAAAAA=&#10;" adj="2662,5400">
                            <v:fill on="t" focussize="0,0"/>
                            <v:stroke weight="1pt" color="#000000 [3213]" miterlimit="8" joinstyle="miter"/>
                            <v:imagedata o:title=""/>
                            <o:lock v:ext="edit" aspectratio="f"/>
                          </v:shape>
                        </w:pict>
                      </mc:Fallback>
                    </mc:AlternateContent>
                  </w:r>
                  <w:r>
                    <w:rPr>
                      <w:color w:val="000000" w:themeColor="text1"/>
                      <w:sz w:val="22"/>
                      <w:szCs w:val="2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1449705</wp:posOffset>
                            </wp:positionH>
                            <wp:positionV relativeFrom="paragraph">
                              <wp:posOffset>670560</wp:posOffset>
                            </wp:positionV>
                            <wp:extent cx="147320" cy="597535"/>
                            <wp:effectExtent l="6350" t="45085" r="24765" b="17145"/>
                            <wp:wrapNone/>
                            <wp:docPr id="11" name="上箭头 11"/>
                            <wp:cNvGraphicFramePr/>
                            <a:graphic xmlns:a="http://schemas.openxmlformats.org/drawingml/2006/main">
                              <a:graphicData uri="http://schemas.microsoft.com/office/word/2010/wordprocessingShape">
                                <wps:wsp>
                                  <wps:cNvSpPr/>
                                  <wps:spPr>
                                    <a:xfrm rot="16680000">
                                      <a:off x="0" y="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14.15pt;margin-top:52.8pt;height:47.05pt;width:11.6pt;rotation:-5373952f;z-index:251661312;v-text-anchor:middle;mso-width-relative:page;mso-height-relative:page;" fillcolor="#FF0000" filled="t" stroked="t" coordsize="21600,21600" o:gfxdata="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7FQ0LZAAAACwEAAA8AAAAAAAAA&#10;AQAgAAAAIgAAAGRycy9kb3ducmV2LnhtbFBLAQIUABQAAAAIAIdO4kC/eKRFggIAAAoFAAAOAAAA&#10;AAAAAAEAIAAAACgBAABkcnMvZTJvRG9jLnhtbFBLBQYAAAAABgAGAFkBAAAcBgAAAAA=&#10;" adj="2662,5400">
                            <v:fill on="t" focussize="0,0"/>
                            <v:stroke weight="1pt" color="#000000 [3213]" miterlimit="8" joinstyle="miter"/>
                            <v:imagedata o:title=""/>
                            <o:lock v:ext="edit" aspectratio="f"/>
                          </v:shape>
                        </w:pict>
                      </mc:Fallback>
                    </mc:AlternateContent>
                  </w:r>
                  <w:r>
                    <w:rPr>
                      <w:color w:val="000000" w:themeColor="text1"/>
                      <w:sz w:val="22"/>
                      <w:szCs w:val="22"/>
                      <w14:textFill>
                        <w14:solidFill>
                          <w14:schemeClr w14:val="tx1"/>
                        </w14:solidFill>
                      </w14:textFill>
                    </w:rPr>
                    <w:drawing>
                      <wp:inline distT="0" distB="0" distL="114300" distR="114300">
                        <wp:extent cx="2470150" cy="1850390"/>
                        <wp:effectExtent l="0" t="0" r="6350" b="16510"/>
                        <wp:docPr id="21" name="图片 21" descr="20845e03ed326198c2fd13f4f62c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845e03ed326198c2fd13f4f62cd12"/>
                                <pic:cNvPicPr>
                                  <a:picLocks noChangeAspect="1"/>
                                </pic:cNvPicPr>
                              </pic:nvPicPr>
                              <pic:blipFill>
                                <a:blip r:embed="rId20"/>
                                <a:stretch>
                                  <a:fillRect/>
                                </a:stretch>
                              </pic:blipFill>
                              <pic:spPr>
                                <a:xfrm>
                                  <a:off x="0" y="0"/>
                                  <a:ext cx="2470150" cy="1850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集气设施</w:t>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收集管道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680085</wp:posOffset>
                            </wp:positionH>
                            <wp:positionV relativeFrom="paragraph">
                              <wp:posOffset>479425</wp:posOffset>
                            </wp:positionV>
                            <wp:extent cx="147320" cy="597535"/>
                            <wp:effectExtent l="6985" t="15875" r="24130" b="27305"/>
                            <wp:wrapNone/>
                            <wp:docPr id="28" name="上箭头 28"/>
                            <wp:cNvGraphicFramePr/>
                            <a:graphic xmlns:a="http://schemas.openxmlformats.org/drawingml/2006/main">
                              <a:graphicData uri="http://schemas.microsoft.com/office/word/2010/wordprocessingShape">
                                <wps:wsp>
                                  <wps:cNvSpPr/>
                                  <wps:spPr>
                                    <a:xfrm rot="5400000">
                                      <a:off x="0" y="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3.55pt;margin-top:37.75pt;height:47.05pt;width:11.6pt;rotation:5898240f;z-index:251664384;v-text-anchor:middle;mso-width-relative:page;mso-height-relative:page;" fillcolor="#FF0000" filled="t" stroked="t" coordsize="21600,21600" o:gfxdata="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4g1ftgAAAAKAQAADwAAAAAAAAAB&#10;ACAAAAAiAAAAZHJzL2Rvd25yZXYueG1sUEsBAhQAFAAAAAgAh07iQKK41xiCAgAACQUAAA4AAAAA&#10;AAAAAQAgAAAAJwEAAGRycy9lMm9Eb2MueG1sUEsFBgAAAAAGAAYAWQEAABsGAAAAAA==&#10;" adj="2662,5400">
                            <v:fill on="t" focussize="0,0"/>
                            <v:stroke weight="1pt" color="#000000 [3213]" miterlimit="8" joinstyle="miter"/>
                            <v:imagedata o:title=""/>
                            <o:lock v:ext="edit" aspectratio="f"/>
                          </v:shape>
                        </w:pict>
                      </mc:Fallback>
                    </mc:AlternateContent>
                  </w:r>
                  <w:r>
                    <w:rPr>
                      <w:rFonts w:hint="eastAsia" w:cs="Times New Roman"/>
                      <w:color w:val="000000" w:themeColor="text1"/>
                      <w:sz w:val="22"/>
                      <w:szCs w:val="22"/>
                      <w:lang w:val="en-US" w:eastAsia="zh-CN"/>
                      <w14:textFill>
                        <w14:solidFill>
                          <w14:schemeClr w14:val="tx1"/>
                        </w14:solidFill>
                      </w14:textFill>
                    </w:rPr>
                    <w:drawing>
                      <wp:inline distT="0" distB="0" distL="114300" distR="114300">
                        <wp:extent cx="2502535" cy="1874520"/>
                        <wp:effectExtent l="0" t="0" r="12065" b="11430"/>
                        <wp:docPr id="23" name="图片 23" descr="2a5e7e5ab386c2ef0f7d54dccefa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5e7e5ab386c2ef0f7d54dccefa172"/>
                                <pic:cNvPicPr>
                                  <a:picLocks noChangeAspect="1"/>
                                </pic:cNvPicPr>
                              </pic:nvPicPr>
                              <pic:blipFill>
                                <a:blip r:embed="rId21"/>
                                <a:stretch>
                                  <a:fillRect/>
                                </a:stretch>
                              </pic:blipFill>
                              <pic:spPr>
                                <a:xfrm>
                                  <a:off x="0" y="0"/>
                                  <a:ext cx="2502535" cy="1874520"/>
                                </a:xfrm>
                                <a:prstGeom prst="rect">
                                  <a:avLst/>
                                </a:prstGeom>
                              </pic:spPr>
                            </pic:pic>
                          </a:graphicData>
                        </a:graphic>
                      </wp:inline>
                    </w:drawing>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2088515</wp:posOffset>
                            </wp:positionH>
                            <wp:positionV relativeFrom="paragraph">
                              <wp:posOffset>747395</wp:posOffset>
                            </wp:positionV>
                            <wp:extent cx="147320" cy="597535"/>
                            <wp:effectExtent l="6985" t="15875" r="24130" b="27305"/>
                            <wp:wrapNone/>
                            <wp:docPr id="27" name="上箭头 27"/>
                            <wp:cNvGraphicFramePr/>
                            <a:graphic xmlns:a="http://schemas.openxmlformats.org/drawingml/2006/main">
                              <a:graphicData uri="http://schemas.microsoft.com/office/word/2010/wordprocessingShape">
                                <wps:wsp>
                                  <wps:cNvSpPr/>
                                  <wps:spPr>
                                    <a:xfrm rot="5400000">
                                      <a:off x="0" y="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64.45pt;margin-top:58.85pt;height:47.05pt;width:11.6pt;rotation:5898240f;z-index:251663360;v-text-anchor:middle;mso-width-relative:page;mso-height-relative:page;" fillcolor="#FF0000" filled="t" stroked="t" coordsize="21600,21600" o:gfxdata="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GLJpbZAAAACwEAAA8AAAAAAAAA&#10;AQAgAAAAIgAAAGRycy9kb3ducmV2LnhtbFBLAQIUABQAAAAIAIdO4kDLtRovggIAAAkFAAAOAAAA&#10;AAAAAAEAIAAAACgBAABkcnMvZTJvRG9jLnhtbFBLBQYAAAAABgAGAFkBAAAcBgAAAAA=&#10;" adj="2662,5400">
                            <v:fill on="t" focussize="0,0"/>
                            <v:stroke weight="1pt" color="#000000 [3213]" miterlimit="8" joinstyle="miter"/>
                            <v:imagedata o:title=""/>
                            <o:lock v:ext="edit" aspectratio="f"/>
                          </v:shape>
                        </w:pict>
                      </mc:Fallback>
                    </mc:AlternateContent>
                  </w:r>
                  <w:r>
                    <w:rPr>
                      <w:color w:val="000000" w:themeColor="text1"/>
                      <w:sz w:val="22"/>
                      <w:szCs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332740</wp:posOffset>
                            </wp:positionH>
                            <wp:positionV relativeFrom="paragraph">
                              <wp:posOffset>824865</wp:posOffset>
                            </wp:positionV>
                            <wp:extent cx="147320" cy="597535"/>
                            <wp:effectExtent l="6985" t="15875" r="24130" b="27305"/>
                            <wp:wrapNone/>
                            <wp:docPr id="10" name="上箭头 10"/>
                            <wp:cNvGraphicFramePr/>
                            <a:graphic xmlns:a="http://schemas.openxmlformats.org/drawingml/2006/main">
                              <a:graphicData uri="http://schemas.microsoft.com/office/word/2010/wordprocessingShape">
                                <wps:wsp>
                                  <wps:cNvSpPr/>
                                  <wps:spPr>
                                    <a:xfrm rot="5400000">
                                      <a:off x="0" y="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6.2pt;margin-top:64.95pt;height:47.05pt;width:11.6pt;rotation:5898240f;z-index:251660288;v-text-anchor:middle;mso-width-relative:page;mso-height-relative:page;" fillcolor="#FF0000" filled="t" stroked="t" coordsize="21600,21600" o:gfxdata="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6mUgNkAAAAJAQAADwAAAAAAAAAB&#10;ACAAAAAiAAAAZHJzL2Rvd25yZXYueG1sUEsBAhQAFAAAAAgAh07iQHl6iHGBAgAACQUAAA4AAAAA&#10;AAAAAQAgAAAAKAEAAGRycy9lMm9Eb2MueG1sUEsFBgAAAAAGAAYAWQEAABsGAAAAAA==&#10;" adj="2662,5400">
                            <v:fill on="t" focussize="0,0"/>
                            <v:stroke weight="1pt" color="#000000 [3213]" miterlimit="8" joinstyle="miter"/>
                            <v:imagedata o:title=""/>
                            <o:lock v:ext="edit" aspectratio="f"/>
                          </v:shape>
                        </w:pict>
                      </mc:Fallback>
                    </mc:AlternateContent>
                  </w:r>
                  <w:r>
                    <w:rPr>
                      <w:color w:val="000000" w:themeColor="text1"/>
                      <w:sz w:val="22"/>
                      <w:szCs w:val="22"/>
                      <w14:textFill>
                        <w14:solidFill>
                          <w14:schemeClr w14:val="tx1"/>
                        </w14:solidFill>
                      </w14:textFill>
                    </w:rPr>
                    <w:drawing>
                      <wp:inline distT="0" distB="0" distL="114300" distR="114300">
                        <wp:extent cx="2470150" cy="1850390"/>
                        <wp:effectExtent l="0" t="0" r="6350" b="16510"/>
                        <wp:docPr id="24" name="图片 24" descr="41fa637b181c0210814ece5cd01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1fa637b181c0210814ece5cd017546"/>
                                <pic:cNvPicPr>
                                  <a:picLocks noChangeAspect="1"/>
                                </pic:cNvPicPr>
                              </pic:nvPicPr>
                              <pic:blipFill>
                                <a:blip r:embed="rId22"/>
                                <a:stretch>
                                  <a:fillRect/>
                                </a:stretch>
                              </pic:blipFill>
                              <pic:spPr>
                                <a:xfrm>
                                  <a:off x="0" y="0"/>
                                  <a:ext cx="2470150" cy="1850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喷淋装置</w:t>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活性炭吸附箱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945515</wp:posOffset>
                            </wp:positionH>
                            <wp:positionV relativeFrom="paragraph">
                              <wp:posOffset>428625</wp:posOffset>
                            </wp:positionV>
                            <wp:extent cx="147320" cy="597535"/>
                            <wp:effectExtent l="0" t="8255" r="43180" b="22860"/>
                            <wp:wrapNone/>
                            <wp:docPr id="9" name="上箭头 9"/>
                            <wp:cNvGraphicFramePr/>
                            <a:graphic xmlns:a="http://schemas.openxmlformats.org/drawingml/2006/main">
                              <a:graphicData uri="http://schemas.microsoft.com/office/word/2010/wordprocessingShape">
                                <wps:wsp>
                                  <wps:cNvSpPr/>
                                  <wps:spPr>
                                    <a:xfrm rot="240000">
                                      <a:off x="2485390" y="6443980"/>
                                      <a:ext cx="147320" cy="59753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74.45pt;margin-top:33.75pt;height:47.05pt;width:11.6pt;rotation:262144f;z-index:251659264;v-text-anchor:middle;mso-width-relative:page;mso-height-relative:page;" fillcolor="#FF0000" filled="t" stroked="t" coordsize="21600,21600" o:gfxdata="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H9t0HaAAAACgEA&#10;AA8AAAAAAAAAAQAgAAAAIgAAAGRycy9kb3ducmV2LnhtbFBLAQIUABQAAAAIAIdO4kDJ3sYLigIA&#10;ABIFAAAOAAAAAAAAAAEAIAAAACkBAABkcnMvZTJvRG9jLnhtbFBLBQYAAAAABgAGAFkBAAAlBgAA&#10;AAA=&#10;" adj="2662,5400">
                            <v:fill on="t" focussize="0,0"/>
                            <v:stroke weight="1pt" color="#000000 [3213]" miterlimit="8" joinstyle="miter"/>
                            <v:imagedata o:title=""/>
                            <o:lock v:ext="edit" aspectratio="f"/>
                          </v:shape>
                        </w:pict>
                      </mc:Fallback>
                    </mc:AlternateContent>
                  </w:r>
                  <w:r>
                    <w:rPr>
                      <w:color w:val="000000" w:themeColor="text1"/>
                      <w:sz w:val="22"/>
                      <w:szCs w:val="22"/>
                      <w14:textFill>
                        <w14:solidFill>
                          <w14:schemeClr w14:val="tx1"/>
                        </w14:solidFill>
                      </w14:textFill>
                    </w:rPr>
                    <w:drawing>
                      <wp:inline distT="0" distB="0" distL="114300" distR="114300">
                        <wp:extent cx="2502535" cy="1874520"/>
                        <wp:effectExtent l="0" t="0" r="12065" b="11430"/>
                        <wp:docPr id="25" name="图片 25" descr="907372d687675d4fee255f68529a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07372d687675d4fee255f68529a6f2"/>
                                <pic:cNvPicPr>
                                  <a:picLocks noChangeAspect="1"/>
                                </pic:cNvPicPr>
                              </pic:nvPicPr>
                              <pic:blipFill>
                                <a:blip r:embed="rId23"/>
                                <a:stretch>
                                  <a:fillRect/>
                                </a:stretch>
                              </pic:blipFill>
                              <pic:spPr>
                                <a:xfrm>
                                  <a:off x="0" y="0"/>
                                  <a:ext cx="2502535" cy="1874520"/>
                                </a:xfrm>
                                <a:prstGeom prst="rect">
                                  <a:avLst/>
                                </a:prstGeom>
                              </pic:spPr>
                            </pic:pic>
                          </a:graphicData>
                        </a:graphic>
                      </wp:inline>
                    </w:drawing>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drawing>
                      <wp:inline distT="0" distB="0" distL="114300" distR="114300">
                        <wp:extent cx="2470150" cy="1850390"/>
                        <wp:effectExtent l="0" t="0" r="6350" b="16510"/>
                        <wp:docPr id="26" name="图片 26" descr="2bece445126d6ead88150e10c4fc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bece445126d6ead88150e10c4fceb9"/>
                                <pic:cNvPicPr>
                                  <a:picLocks noChangeAspect="1"/>
                                </pic:cNvPicPr>
                              </pic:nvPicPr>
                              <pic:blipFill>
                                <a:blip r:embed="rId24"/>
                                <a:stretch>
                                  <a:fillRect/>
                                </a:stretch>
                              </pic:blipFill>
                              <pic:spPr>
                                <a:xfrm>
                                  <a:off x="0" y="0"/>
                                  <a:ext cx="2470150" cy="1850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排气筒</w:t>
                  </w:r>
                </w:p>
              </w:tc>
              <w:tc>
                <w:tcPr>
                  <w:tcW w:w="2480"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采样平台及采样孔</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图3.1-2   项目废气处理设施照片</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themeColor="text1"/>
                <w:sz w:val="26"/>
                <w:szCs w:val="26"/>
                <w14:textFill>
                  <w14:solidFill>
                    <w14:schemeClr w14:val="tx1"/>
                  </w14:solidFill>
                </w14:textFill>
              </w:rPr>
            </w:pPr>
            <w:r>
              <w:rPr>
                <w:rFonts w:hint="default" w:ascii="Times New Roman" w:hAnsi="Times New Roman" w:eastAsia="宋体" w:cs="Times New Roman"/>
                <w:b/>
                <w:bCs/>
                <w:color w:val="000000" w:themeColor="text1"/>
                <w:sz w:val="26"/>
                <w:szCs w:val="26"/>
                <w14:textFill>
                  <w14:solidFill>
                    <w14:schemeClr w14:val="tx1"/>
                  </w14:solidFill>
                </w14:textFill>
              </w:rPr>
              <w:t>3.1.3噪声</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本项目噪声主要来自台式钻床、</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数控车床</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磨床</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超声波清洗机和玻璃车床</w:t>
            </w:r>
            <w:r>
              <w:rPr>
                <w:rFonts w:hint="default" w:ascii="Times New Roman" w:hAnsi="Times New Roman" w:eastAsia="宋体" w:cs="Times New Roman"/>
                <w:bCs/>
                <w:color w:val="000000" w:themeColor="text1"/>
                <w:sz w:val="26"/>
                <w:szCs w:val="26"/>
                <w14:textFill>
                  <w14:solidFill>
                    <w14:schemeClr w14:val="tx1"/>
                  </w14:solidFill>
                </w14:textFill>
              </w:rPr>
              <w:t>等运行时产生的噪声。项目选用了低噪声设备，噪声设备均置于室内，对噪声设备采取了基础减振，隔声等措施，同时加强设备的维护和管理，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可</w:t>
            </w:r>
            <w:r>
              <w:rPr>
                <w:rFonts w:hint="default" w:ascii="Times New Roman" w:hAnsi="Times New Roman" w:eastAsia="宋体" w:cs="Times New Roman"/>
                <w:bCs/>
                <w:color w:val="000000" w:themeColor="text1"/>
                <w:sz w:val="26"/>
                <w:szCs w:val="26"/>
                <w14:textFill>
                  <w14:solidFill>
                    <w14:schemeClr w14:val="tx1"/>
                  </w14:solidFill>
                </w14:textFill>
              </w:rPr>
              <w:t>确保厂界噪声达标。噪声源及治理措施见表3.1-3</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废气处理设施照片见图3.1-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 xml:space="preserve">   项目主要噪声源及治理情况表</w:t>
            </w:r>
          </w:p>
          <w:tbl>
            <w:tblPr>
              <w:tblStyle w:val="13"/>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1562"/>
              <w:gridCol w:w="810"/>
              <w:gridCol w:w="1363"/>
              <w:gridCol w:w="2652"/>
              <w:gridCol w:w="12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序号</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设备名称</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数量</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噪声源强</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治理设施</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运行方式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台式钻床</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2</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数控车床</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80</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3</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磨床</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4</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液压机</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80</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5</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超声波清洗机</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玻璃车床</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80</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废气风机</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41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w:t>
                  </w:r>
                </w:p>
              </w:tc>
              <w:tc>
                <w:tcPr>
                  <w:tcW w:w="9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水泵</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w:t>
                  </w:r>
                </w:p>
              </w:tc>
              <w:tc>
                <w:tcPr>
                  <w:tcW w:w="82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75</w:t>
                  </w:r>
                </w:p>
              </w:tc>
              <w:tc>
                <w:tcPr>
                  <w:tcW w:w="160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基础减振、建筑隔声</w:t>
                  </w:r>
                </w:p>
              </w:tc>
              <w:tc>
                <w:tcPr>
                  <w:tcW w:w="73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间歇运行</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bCs/>
                <w:color w:val="000000" w:themeColor="text1"/>
                <w:sz w:val="24"/>
                <w:szCs w:val="24"/>
                <w14:textFill>
                  <w14:solidFill>
                    <w14:schemeClr w14:val="tx1"/>
                  </w14:solidFill>
                </w14:textFill>
              </w:rPr>
              <w:t>处理设施照片见图3.1-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drawing>
                      <wp:inline distT="0" distB="0" distL="114300" distR="114300">
                        <wp:extent cx="2502535" cy="1874520"/>
                        <wp:effectExtent l="0" t="0" r="12065" b="11430"/>
                        <wp:docPr id="29" name="图片 29" descr="52ce98f99870a2d4ea98e6a1176a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2ce98f99870a2d4ea98e6a1176abdc"/>
                                <pic:cNvPicPr>
                                  <a:picLocks noChangeAspect="1"/>
                                </pic:cNvPicPr>
                              </pic:nvPicPr>
                              <pic:blipFill>
                                <a:blip r:embed="rId25"/>
                                <a:stretch>
                                  <a:fillRect/>
                                </a:stretch>
                              </pic:blipFill>
                              <pic:spPr>
                                <a:xfrm>
                                  <a:off x="0" y="0"/>
                                  <a:ext cx="2502535" cy="1874520"/>
                                </a:xfrm>
                                <a:prstGeom prst="rect">
                                  <a:avLst/>
                                </a:prstGeom>
                              </pic:spPr>
                            </pic:pic>
                          </a:graphicData>
                        </a:graphic>
                      </wp:inline>
                    </w:drawing>
                  </w:r>
                  <w:r>
                    <w:rPr>
                      <w:rFonts w:hint="default" w:ascii="Times New Roman" w:hAnsi="Times New Roman" w:eastAsia="宋体" w:cs="Times New Roman"/>
                      <w:color w:val="000000" w:themeColor="text1"/>
                      <w:sz w:val="22"/>
                      <w:szCs w:val="22"/>
                      <w14:textFill>
                        <w14:solidFill>
                          <w14:schemeClr w14:val="tx1"/>
                        </w14:solidFill>
                      </w14:textFill>
                    </w:rPr>
                    <w:br w:type="page"/>
                  </w:r>
                </w:p>
              </w:tc>
              <w:tc>
                <w:tcPr>
                  <w:tcW w:w="248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70150" cy="1850390"/>
                        <wp:effectExtent l="0" t="0" r="6350" b="16510"/>
                        <wp:docPr id="30" name="图片 30" descr="e5bd5d786d92a601ac95fb036bda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5bd5d786d92a601ac95fb036bda973"/>
                                <pic:cNvPicPr>
                                  <a:picLocks noChangeAspect="1"/>
                                </pic:cNvPicPr>
                              </pic:nvPicPr>
                              <pic:blipFill>
                                <a:blip r:embed="rId26"/>
                                <a:stretch>
                                  <a:fillRect/>
                                </a:stretch>
                              </pic:blipFill>
                              <pic:spPr>
                                <a:xfrm>
                                  <a:off x="0" y="0"/>
                                  <a:ext cx="2470150" cy="1850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6"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减震</w:t>
                  </w:r>
                </w:p>
              </w:tc>
              <w:tc>
                <w:tcPr>
                  <w:tcW w:w="2483"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墙体隔声</w:t>
                  </w:r>
                </w:p>
              </w:tc>
            </w:tr>
          </w:tbl>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图3.1-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 xml:space="preserve">   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噪声</w:t>
            </w:r>
            <w:r>
              <w:rPr>
                <w:rFonts w:hint="default" w:ascii="Times New Roman" w:hAnsi="Times New Roman" w:eastAsia="宋体" w:cs="Times New Roman"/>
                <w:bCs/>
                <w:color w:val="000000" w:themeColor="text1"/>
                <w:sz w:val="26"/>
                <w:szCs w:val="26"/>
                <w14:textFill>
                  <w14:solidFill>
                    <w14:schemeClr w14:val="tx1"/>
                  </w14:solidFill>
                </w14:textFill>
              </w:rPr>
              <w:t>处理设施照片</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themeColor="text1"/>
                <w:sz w:val="26"/>
                <w:szCs w:val="26"/>
                <w14:textFill>
                  <w14:solidFill>
                    <w14:schemeClr w14:val="tx1"/>
                  </w14:solidFill>
                </w14:textFill>
              </w:rPr>
            </w:pPr>
            <w:r>
              <w:rPr>
                <w:rFonts w:hint="default" w:ascii="Times New Roman" w:hAnsi="Times New Roman" w:eastAsia="宋体" w:cs="Times New Roman"/>
                <w:b/>
                <w:bCs/>
                <w:color w:val="000000" w:themeColor="text1"/>
                <w:sz w:val="26"/>
                <w:szCs w:val="26"/>
                <w14:textFill>
                  <w14:solidFill>
                    <w14:schemeClr w14:val="tx1"/>
                  </w14:solidFill>
                </w14:textFill>
              </w:rPr>
              <w:t>3.1.4固体废物</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验收项目营运期固体废物主要为危险废物、一般工业固废及生活垃圾。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（1）危险废物</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项目厂区产生危险废物主要包括</w:t>
            </w:r>
            <w:r>
              <w:rPr>
                <w:rFonts w:hint="default" w:ascii="Times New Roman" w:hAnsi="Times New Roman" w:eastAsia="宋体" w:cs="Times New Roman"/>
                <w:bCs/>
                <w:color w:val="000000" w:themeColor="text1"/>
                <w:sz w:val="26"/>
                <w:szCs w:val="26"/>
                <w:lang w:eastAsia="zh-CN"/>
                <w14:textFill>
                  <w14:solidFill>
                    <w14:schemeClr w14:val="tx1"/>
                  </w14:solidFill>
                </w14:textFill>
              </w:rPr>
              <w:t>废活性炭</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切削液</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废棉纱手套、废变压器油</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、废包装桶、污泥、废机油、废机油桶</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暂存于</w:t>
            </w:r>
            <w:r>
              <w:rPr>
                <w:rFonts w:hint="default" w:ascii="Times New Roman" w:hAnsi="Times New Roman" w:eastAsia="宋体" w:cs="Times New Roman"/>
                <w:bCs/>
                <w:color w:val="000000" w:themeColor="text1"/>
                <w:sz w:val="26"/>
                <w:szCs w:val="26"/>
                <w14:textFill>
                  <w14:solidFill>
                    <w14:schemeClr w14:val="tx1"/>
                  </w14:solidFill>
                </w14:textFill>
              </w:rPr>
              <w:t>厂区</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4楼已建成</w:t>
            </w:r>
            <w:r>
              <w:rPr>
                <w:rFonts w:hint="default" w:ascii="Times New Roman" w:hAnsi="Times New Roman" w:eastAsia="宋体" w:cs="Times New Roman"/>
                <w:bCs/>
                <w:color w:val="000000" w:themeColor="text1"/>
                <w:sz w:val="26"/>
                <w:szCs w:val="26"/>
                <w:lang w:val="en-GB"/>
                <w14:textFill>
                  <w14:solidFill>
                    <w14:schemeClr w14:val="tx1"/>
                  </w14:solidFill>
                </w14:textFill>
              </w:rPr>
              <w:t>危废暂存间。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项目危险废物采用专用容器分类收集，暂存于危险废物暂存间，定期交由</w:t>
            </w: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重庆新艮犇环保科技有限公司</w:t>
            </w:r>
            <w:r>
              <w:rPr>
                <w:rFonts w:hint="default" w:ascii="Times New Roman" w:hAnsi="Times New Roman" w:eastAsia="宋体" w:cs="Times New Roman"/>
                <w:bCs/>
                <w:color w:val="000000" w:themeColor="text1"/>
                <w:sz w:val="26"/>
                <w:szCs w:val="26"/>
                <w14:textFill>
                  <w14:solidFill>
                    <w14:schemeClr w14:val="tx1"/>
                  </w14:solidFill>
                </w14:textFill>
              </w:rPr>
              <w:t>进行处置，危废协议见</w:t>
            </w:r>
            <w:r>
              <w:rPr>
                <w:rFonts w:hint="eastAsia" w:ascii="Times New Roman" w:hAnsi="Times New Roman" w:eastAsia="宋体" w:cs="Times New Roman"/>
                <w:bCs/>
                <w:color w:val="000000" w:themeColor="text1"/>
                <w:sz w:val="26"/>
                <w:szCs w:val="26"/>
                <w:highlight w:val="none"/>
                <w:lang w:eastAsia="zh-CN"/>
                <w14:textFill>
                  <w14:solidFill>
                    <w14:schemeClr w14:val="tx1"/>
                  </w14:solidFill>
                </w14:textFill>
              </w:rPr>
              <w:t>附件2</w:t>
            </w:r>
            <w:r>
              <w:rPr>
                <w:rFonts w:hint="default" w:ascii="Times New Roman" w:hAnsi="Times New Roman" w:eastAsia="宋体" w:cs="Times New Roman"/>
                <w:bCs/>
                <w:color w:val="000000" w:themeColor="text1"/>
                <w:sz w:val="26"/>
                <w:szCs w:val="26"/>
                <w14:textFill>
                  <w14:solidFill>
                    <w14:schemeClr w14:val="tx1"/>
                  </w14:solidFill>
                </w14:textFill>
              </w:rPr>
              <w:t>。项目危废暂存间</w:t>
            </w:r>
            <w:r>
              <w:rPr>
                <w:rFonts w:hint="default" w:ascii="Times New Roman" w:hAnsi="Times New Roman" w:eastAsia="宋体" w:cs="Times New Roman"/>
                <w:bCs/>
                <w:color w:val="000000" w:themeColor="text1"/>
                <w:sz w:val="26"/>
                <w:szCs w:val="26"/>
                <w:lang w:val="en-GB"/>
                <w14:textFill>
                  <w14:solidFill>
                    <w14:schemeClr w14:val="tx1"/>
                  </w14:solidFill>
                </w14:textFill>
              </w:rPr>
              <w:t>均</w:t>
            </w:r>
            <w:r>
              <w:rPr>
                <w:rFonts w:hint="default" w:ascii="Times New Roman" w:hAnsi="Times New Roman" w:eastAsia="宋体" w:cs="Times New Roman"/>
                <w:bCs/>
                <w:color w:val="000000" w:themeColor="text1"/>
                <w:sz w:val="26"/>
                <w:szCs w:val="26"/>
                <w14:textFill>
                  <w14:solidFill>
                    <w14:schemeClr w14:val="tx1"/>
                  </w14:solidFill>
                </w14:textFill>
              </w:rPr>
              <w:t>已采取“四防”措施，且设置有标签、警示标志等，满足相关环保要求。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（2）一般工业固废</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lang w:val="en-GB"/>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项目厂区产生一般工业固废主要包括</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厂房西南侧</w:t>
            </w:r>
            <w:r>
              <w:rPr>
                <w:rFonts w:hint="default" w:ascii="Times New Roman" w:hAnsi="Times New Roman" w:eastAsia="宋体" w:cs="Times New Roman"/>
                <w:bCs/>
                <w:color w:val="000000" w:themeColor="text1"/>
                <w:sz w:val="26"/>
                <w:szCs w:val="26"/>
                <w:lang w:val="en-GB"/>
                <w14:textFill>
                  <w14:solidFill>
                    <w14:schemeClr w14:val="tx1"/>
                  </w14:solidFill>
                </w14:textFill>
              </w:rPr>
              <w:t>设置有1处</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w:t>
            </w:r>
            <w:r>
              <w:rPr>
                <w:rFonts w:hint="default" w:ascii="Times New Roman" w:hAnsi="Times New Roman" w:eastAsia="宋体" w:cs="Times New Roman"/>
                <w:bCs/>
                <w:color w:val="000000" w:themeColor="text1"/>
                <w:sz w:val="26"/>
                <w:szCs w:val="26"/>
                <w:lang w:val="en-GB"/>
                <w14:textFill>
                  <w14:solidFill>
                    <w14:schemeClr w14:val="tx1"/>
                  </w14:solidFill>
                </w14:textFill>
              </w:rPr>
              <w:t>m</w:t>
            </w:r>
            <w:r>
              <w:rPr>
                <w:rFonts w:hint="default" w:ascii="Times New Roman" w:hAnsi="Times New Roman" w:eastAsia="宋体" w:cs="Times New Roman"/>
                <w:bCs/>
                <w:color w:val="000000" w:themeColor="text1"/>
                <w:sz w:val="26"/>
                <w:szCs w:val="26"/>
                <w:vertAlign w:val="superscript"/>
                <w:lang w:val="en-GB"/>
                <w14:textFill>
                  <w14:solidFill>
                    <w14:schemeClr w14:val="tx1"/>
                  </w14:solidFill>
                </w14:textFill>
              </w:rPr>
              <w:t>2</w:t>
            </w:r>
            <w:r>
              <w:rPr>
                <w:rFonts w:hint="default" w:ascii="Times New Roman" w:hAnsi="Times New Roman" w:eastAsia="宋体" w:cs="Times New Roman"/>
                <w:bCs/>
                <w:color w:val="000000" w:themeColor="text1"/>
                <w:sz w:val="26"/>
                <w:szCs w:val="26"/>
                <w:lang w:val="en-GB"/>
                <w14:textFill>
                  <w14:solidFill>
                    <w14:schemeClr w14:val="tx1"/>
                  </w14:solidFill>
                </w14:textFill>
              </w:rPr>
              <w:t>的一般固废暂存区。</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收集后暂存于一般固废暂存区定期外卖废品回收站。</w:t>
            </w:r>
            <w:r>
              <w:rPr>
                <w:rFonts w:hint="default" w:ascii="Times New Roman" w:hAnsi="Times New Roman" w:eastAsia="宋体" w:cs="Times New Roman"/>
                <w:bCs/>
                <w:color w:val="000000" w:themeColor="text1"/>
                <w:sz w:val="26"/>
                <w:szCs w:val="26"/>
                <w:lang w:val="en-GB"/>
                <w14:textFill>
                  <w14:solidFill>
                    <w14:schemeClr w14:val="tx1"/>
                  </w14:solidFill>
                </w14:textFill>
              </w:rPr>
              <w:t>项目一般固废暂存间均</w:t>
            </w:r>
            <w:r>
              <w:rPr>
                <w:rFonts w:hint="default" w:ascii="Times New Roman" w:hAnsi="Times New Roman" w:eastAsia="宋体" w:cs="Times New Roman"/>
                <w:bCs/>
                <w:color w:val="000000" w:themeColor="text1"/>
                <w:sz w:val="26"/>
                <w:szCs w:val="26"/>
                <w14:textFill>
                  <w14:solidFill>
                    <w14:schemeClr w14:val="tx1"/>
                  </w14:solidFill>
                </w14:textFill>
              </w:rPr>
              <w:t>满足相应防渗漏、防雨淋、防扬尘等环境保护要求。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（3）生活垃圾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办公区及厂房内均设有生活垃圾收集桶，由环卫部门每天清运处置。</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项目固废产生及治理情况见表3.1-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4</w:t>
            </w:r>
            <w:r>
              <w:rPr>
                <w:rFonts w:hint="default" w:ascii="Times New Roman" w:hAnsi="Times New Roman" w:eastAsia="宋体" w:cs="Times New Roman"/>
                <w:bCs/>
                <w:color w:val="000000" w:themeColor="text1"/>
                <w:sz w:val="26"/>
                <w:szCs w:val="26"/>
                <w14:textFill>
                  <w14:solidFill>
                    <w14:schemeClr w14:val="tx1"/>
                  </w14:solidFill>
                </w14:textFill>
              </w:rPr>
              <w:t>，项目固废设施照片见图3.1-4。</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4</w:t>
            </w:r>
            <w:r>
              <w:rPr>
                <w:rFonts w:hint="default" w:ascii="Times New Roman" w:hAnsi="Times New Roman" w:eastAsia="宋体" w:cs="Times New Roman"/>
                <w:bCs/>
                <w:color w:val="000000" w:themeColor="text1"/>
                <w:sz w:val="26"/>
                <w:szCs w:val="26"/>
                <w14:textFill>
                  <w14:solidFill>
                    <w14:schemeClr w14:val="tx1"/>
                  </w14:solidFill>
                </w14:textFill>
              </w:rPr>
              <w:t xml:space="preserve">   项目固废产生及治理情况表</w:t>
            </w:r>
          </w:p>
          <w:tbl>
            <w:tblPr>
              <w:tblStyle w:val="13"/>
              <w:tblW w:w="4998" w:type="pct"/>
              <w:tblInd w:w="0" w:type="dxa"/>
              <w:shd w:val="clear" w:color="auto" w:fill="auto"/>
              <w:tblLayout w:type="autofit"/>
              <w:tblCellMar>
                <w:top w:w="0" w:type="dxa"/>
                <w:left w:w="108" w:type="dxa"/>
                <w:bottom w:w="0" w:type="dxa"/>
                <w:right w:w="108" w:type="dxa"/>
              </w:tblCellMar>
            </w:tblPr>
            <w:tblGrid>
              <w:gridCol w:w="914"/>
              <w:gridCol w:w="2409"/>
              <w:gridCol w:w="1648"/>
              <w:gridCol w:w="3332"/>
            </w:tblGrid>
            <w:tr>
              <w:tblPrEx>
                <w:shd w:val="clear" w:color="auto" w:fill="auto"/>
              </w:tblPrEx>
              <w:trPr>
                <w:trHeight w:val="23" w:hRule="atLeast"/>
                <w:tblHeader/>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序号</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固体废物名称</w:t>
                  </w:r>
                </w:p>
              </w:tc>
              <w:tc>
                <w:tcPr>
                  <w:tcW w:w="9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固废类别</w:t>
                  </w:r>
                </w:p>
              </w:tc>
              <w:tc>
                <w:tcPr>
                  <w:tcW w:w="200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处置方式</w:t>
                  </w: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1</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废</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切削液、沾染切削液的废料</w:t>
                  </w:r>
                </w:p>
              </w:tc>
              <w:tc>
                <w:tcPr>
                  <w:tcW w:w="992" w:type="pct"/>
                  <w:vMerge w:val="restart"/>
                  <w:tcBorders>
                    <w:top w:val="single" w:color="000000" w:sz="8" w:space="0"/>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危险废物</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restart"/>
                  <w:tcBorders>
                    <w:top w:val="single" w:color="000000" w:sz="8" w:space="0"/>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交</w:t>
                  </w:r>
                  <w:r>
                    <w:rPr>
                      <w:rFonts w:hint="eastAsia" w:ascii="Times New Roman" w:hAnsi="Times New Roman" w:eastAsia="宋体" w:cs="Times New Roman"/>
                      <w:color w:val="000000" w:themeColor="text1"/>
                      <w:sz w:val="22"/>
                      <w:szCs w:val="22"/>
                      <w:lang w:eastAsia="zh-CN"/>
                      <w14:textFill>
                        <w14:solidFill>
                          <w14:schemeClr w14:val="tx1"/>
                        </w14:solidFill>
                      </w14:textFill>
                    </w:rPr>
                    <w:t>重庆新艮犇环保科技有限公司</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处置</w:t>
                  </w: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2</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废棉纱手套</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343" w:hRule="atLeast"/>
              </w:trPr>
              <w:tc>
                <w:tcPr>
                  <w:tcW w:w="5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3</w:t>
                  </w:r>
                </w:p>
              </w:tc>
              <w:tc>
                <w:tcPr>
                  <w:tcW w:w="14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废变压器油</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43" w:hRule="atLeast"/>
              </w:trPr>
              <w:tc>
                <w:tcPr>
                  <w:tcW w:w="5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4</w:t>
                  </w:r>
                </w:p>
              </w:tc>
              <w:tc>
                <w:tcPr>
                  <w:tcW w:w="14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废包装</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桶</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343" w:hRule="atLeast"/>
              </w:trPr>
              <w:tc>
                <w:tcPr>
                  <w:tcW w:w="5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5</w:t>
                  </w:r>
                </w:p>
              </w:tc>
              <w:tc>
                <w:tcPr>
                  <w:tcW w:w="1450" w:type="pct"/>
                  <w:tcBorders>
                    <w:top w:val="single" w:color="000000" w:sz="8" w:space="0"/>
                    <w:left w:val="single" w:color="000000" w:sz="8" w:space="0"/>
                    <w:bottom w:val="single" w:color="000000" w:sz="4"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废活性炭</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6</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污泥</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废机油</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废机油桶</w:t>
                  </w:r>
                </w:p>
              </w:tc>
              <w:tc>
                <w:tcPr>
                  <w:tcW w:w="992" w:type="pct"/>
                  <w:vMerge w:val="continue"/>
                  <w:tcBorders>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金属废料</w:t>
                  </w:r>
                </w:p>
              </w:tc>
              <w:tc>
                <w:tcPr>
                  <w:tcW w:w="992" w:type="pct"/>
                  <w:vMerge w:val="restart"/>
                  <w:tcBorders>
                    <w:top w:val="single" w:color="000000" w:sz="8" w:space="0"/>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一般固废</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restart"/>
                  <w:tcBorders>
                    <w:top w:val="single" w:color="000000" w:sz="8" w:space="0"/>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外售综合利用</w:t>
                  </w: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10</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废玻璃</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shd w:val="clear" w:color="auto" w:fill="auto"/>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11</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不合格品</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shd w:val="clear" w:color="auto" w:fill="auto"/>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废滤芯</w:t>
                  </w:r>
                </w:p>
              </w:tc>
              <w:tc>
                <w:tcPr>
                  <w:tcW w:w="992"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13</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金属粉末</w:t>
                  </w:r>
                </w:p>
              </w:tc>
              <w:tc>
                <w:tcPr>
                  <w:tcW w:w="992" w:type="pct"/>
                  <w:vMerge w:val="continue"/>
                  <w:tcBorders>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c>
                <w:tcPr>
                  <w:tcW w:w="2006" w:type="pct"/>
                  <w:vMerge w:val="continue"/>
                  <w:tcBorders>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5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w:t>
                  </w:r>
                </w:p>
              </w:tc>
              <w:tc>
                <w:tcPr>
                  <w:tcW w:w="1450"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生活垃圾</w:t>
                  </w:r>
                </w:p>
              </w:tc>
              <w:tc>
                <w:tcPr>
                  <w:tcW w:w="992"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生活垃圾</w:t>
                  </w:r>
                </w:p>
              </w:tc>
              <w:tc>
                <w:tcPr>
                  <w:tcW w:w="2006" w:type="pct"/>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环卫部门统一处理</w:t>
                  </w:r>
                </w:p>
              </w:tc>
            </w:tr>
          </w:tbl>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项目固废设施照片见图3.1-4</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6"/>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2"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14270" cy="1810385"/>
                        <wp:effectExtent l="0" t="0" r="5080" b="18415"/>
                        <wp:docPr id="1" name="图片 1" descr="0AA42E36B42D6DF822890BF4C4F10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AA42E36B42D6DF822890BF4C4F10B0E"/>
                                <pic:cNvPicPr>
                                  <a:picLocks noChangeAspect="1"/>
                                </pic:cNvPicPr>
                              </pic:nvPicPr>
                              <pic:blipFill>
                                <a:blip r:embed="rId27"/>
                                <a:stretch>
                                  <a:fillRect/>
                                </a:stretch>
                              </pic:blipFill>
                              <pic:spPr>
                                <a:xfrm>
                                  <a:off x="0" y="0"/>
                                  <a:ext cx="2414270" cy="1810385"/>
                                </a:xfrm>
                                <a:prstGeom prst="rect">
                                  <a:avLst/>
                                </a:prstGeom>
                              </pic:spPr>
                            </pic:pic>
                          </a:graphicData>
                        </a:graphic>
                      </wp:inline>
                    </w:drawing>
                  </w:r>
                </w:p>
              </w:tc>
              <w:tc>
                <w:tcPr>
                  <w:tcW w:w="2577"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69210" cy="1927225"/>
                        <wp:effectExtent l="0" t="0" r="2540" b="15875"/>
                        <wp:docPr id="2" name="图片 2" descr="0DC0B0D07E0328EAB532F1B7CED9F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C0B0D07E0328EAB532F1B7CED9F552"/>
                                <pic:cNvPicPr>
                                  <a:picLocks noChangeAspect="1"/>
                                </pic:cNvPicPr>
                              </pic:nvPicPr>
                              <pic:blipFill>
                                <a:blip r:embed="rId28"/>
                                <a:stretch>
                                  <a:fillRect/>
                                </a:stretch>
                              </pic:blipFill>
                              <pic:spPr>
                                <a:xfrm>
                                  <a:off x="0" y="0"/>
                                  <a:ext cx="2569210" cy="1927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2"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14270" cy="1810385"/>
                        <wp:effectExtent l="0" t="0" r="5080" b="18415"/>
                        <wp:docPr id="3" name="图片 3" descr="7A579E0258F55A472AAE2A4B7E661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A579E0258F55A472AAE2A4B7E661B40"/>
                                <pic:cNvPicPr>
                                  <a:picLocks noChangeAspect="1"/>
                                </pic:cNvPicPr>
                              </pic:nvPicPr>
                              <pic:blipFill>
                                <a:blip r:embed="rId29"/>
                                <a:stretch>
                                  <a:fillRect/>
                                </a:stretch>
                              </pic:blipFill>
                              <pic:spPr>
                                <a:xfrm>
                                  <a:off x="0" y="0"/>
                                  <a:ext cx="2414270" cy="1810385"/>
                                </a:xfrm>
                                <a:prstGeom prst="rect">
                                  <a:avLst/>
                                </a:prstGeom>
                              </pic:spPr>
                            </pic:pic>
                          </a:graphicData>
                        </a:graphic>
                      </wp:inline>
                    </w:drawing>
                  </w:r>
                </w:p>
              </w:tc>
              <w:tc>
                <w:tcPr>
                  <w:tcW w:w="2577"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68575" cy="1926590"/>
                        <wp:effectExtent l="0" t="0" r="3175" b="16510"/>
                        <wp:docPr id="4" name="图片 4" descr="8FED0619B48E55B94C642454E894A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ED0619B48E55B94C642454E894A93D"/>
                                <pic:cNvPicPr>
                                  <a:picLocks noChangeAspect="1"/>
                                </pic:cNvPicPr>
                              </pic:nvPicPr>
                              <pic:blipFill>
                                <a:blip r:embed="rId30"/>
                                <a:stretch>
                                  <a:fillRect/>
                                </a:stretch>
                              </pic:blipFill>
                              <pic:spPr>
                                <a:xfrm>
                                  <a:off x="0" y="0"/>
                                  <a:ext cx="256857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00" w:type="pct"/>
                  <w:gridSpan w:val="2"/>
                  <w:shd w:val="clear" w:color="auto" w:fill="auto"/>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厂区危废暂存间</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图3.1-4   项目固废设施照片</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7" w:name="_Toc512518734"/>
            <w:r>
              <w:rPr>
                <w:rFonts w:hint="default" w:ascii="Times New Roman" w:hAnsi="Times New Roman" w:eastAsia="宋体" w:cs="Times New Roman"/>
                <w:b/>
                <w:color w:val="000000" w:themeColor="text1"/>
                <w:sz w:val="26"/>
                <w:szCs w:val="26"/>
                <w14:textFill>
                  <w14:solidFill>
                    <w14:schemeClr w14:val="tx1"/>
                  </w14:solidFill>
                </w14:textFill>
              </w:rPr>
              <w:t>3.3环境管理</w:t>
            </w:r>
            <w:bookmarkEnd w:id="7"/>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3.3.1环境管理制度</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重庆信合启越科技有限公司</w:t>
            </w:r>
            <w:r>
              <w:rPr>
                <w:rFonts w:hint="default" w:ascii="Times New Roman" w:hAnsi="Times New Roman" w:eastAsia="宋体" w:cs="Times New Roman"/>
                <w:bCs/>
                <w:color w:val="000000" w:themeColor="text1"/>
                <w:sz w:val="26"/>
                <w:szCs w:val="26"/>
                <w14:textFill>
                  <w14:solidFill>
                    <w14:schemeClr w14:val="tx1"/>
                  </w14:solidFill>
                </w14:textFill>
              </w:rPr>
              <w:t>配备了环保管理人员兼职治理设施操作人员</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w:t>
            </w:r>
            <w:r>
              <w:rPr>
                <w:rFonts w:hint="default" w:ascii="Times New Roman" w:hAnsi="Times New Roman" w:eastAsia="宋体" w:cs="Times New Roman"/>
                <w:bCs/>
                <w:color w:val="000000" w:themeColor="text1"/>
                <w:sz w:val="26"/>
                <w:szCs w:val="26"/>
                <w14:textFill>
                  <w14:solidFill>
                    <w14:schemeClr w14:val="tx1"/>
                  </w14:solidFill>
                </w14:textFill>
              </w:rPr>
              <w:t>名；公司建立了环保管理制度，环保管理基本满足要求。设有专门的档案册，不存在相关环保制度、文件和手续乱放现象。公司建立了环保档案，有环评及其批复、各种管理制度等文件。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3"/>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pStyle w:val="4"/>
                    <w:keepNext w:val="0"/>
                    <w:keepLines w:val="0"/>
                    <w:pageBreakBefore w:val="0"/>
                    <w:widowControl w:val="0"/>
                    <w:kinsoku/>
                    <w:wordWrap/>
                    <w:overflowPunct/>
                    <w:topLinePunct w:val="0"/>
                    <w:autoSpaceDE w:val="0"/>
                    <w:autoSpaceDN w:val="0"/>
                    <w:bidi w:val="0"/>
                    <w:adjustRightInd w:val="0"/>
                    <w:snapToGrid w:val="0"/>
                    <w:spacing w:after="0" w:line="240" w:lineRule="auto"/>
                    <w:ind w:left="0" w:firstLine="0"/>
                    <w:jc w:val="both"/>
                    <w:textAlignment w:val="baseline"/>
                    <w:rPr>
                      <w:rFonts w:hint="eastAsia" w:ascii="Times New Roman" w:hAnsi="Times New Roman" w:eastAsia="宋体" w:cs="Times New Roman"/>
                      <w:bCs/>
                      <w:color w:val="000000" w:themeColor="text1"/>
                      <w:sz w:val="22"/>
                      <w:szCs w:val="22"/>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2"/>
                      <w:szCs w:val="22"/>
                      <w:vertAlign w:val="baseline"/>
                      <w:lang w:eastAsia="zh-CN"/>
                      <w14:textFill>
                        <w14:solidFill>
                          <w14:schemeClr w14:val="tx1"/>
                        </w14:solidFill>
                      </w14:textFill>
                    </w:rPr>
                    <w:drawing>
                      <wp:inline distT="0" distB="0" distL="114300" distR="114300">
                        <wp:extent cx="2496185" cy="1871980"/>
                        <wp:effectExtent l="0" t="0" r="18415" b="13970"/>
                        <wp:docPr id="43" name="图片 43" descr="8E82F2295C15E83C99F01EE099ACF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E82F2295C15E83C99F01EE099ACF05E"/>
                                <pic:cNvPicPr>
                                  <a:picLocks noChangeAspect="1"/>
                                </pic:cNvPicPr>
                              </pic:nvPicPr>
                              <pic:blipFill>
                                <a:blip r:embed="rId31"/>
                                <a:stretch>
                                  <a:fillRect/>
                                </a:stretch>
                              </pic:blipFill>
                              <pic:spPr>
                                <a:xfrm>
                                  <a:off x="0" y="0"/>
                                  <a:ext cx="2496185" cy="1871980"/>
                                </a:xfrm>
                                <a:prstGeom prst="rect">
                                  <a:avLst/>
                                </a:prstGeom>
                              </pic:spPr>
                            </pic:pic>
                          </a:graphicData>
                        </a:graphic>
                      </wp:inline>
                    </w:drawing>
                  </w:r>
                </w:p>
              </w:tc>
              <w:tc>
                <w:tcPr>
                  <w:tcW w:w="4148" w:type="dxa"/>
                </w:tcPr>
                <w:p>
                  <w:pPr>
                    <w:pStyle w:val="4"/>
                    <w:keepNext w:val="0"/>
                    <w:keepLines w:val="0"/>
                    <w:pageBreakBefore w:val="0"/>
                    <w:widowControl w:val="0"/>
                    <w:kinsoku/>
                    <w:wordWrap/>
                    <w:overflowPunct/>
                    <w:topLinePunct w:val="0"/>
                    <w:autoSpaceDE w:val="0"/>
                    <w:autoSpaceDN w:val="0"/>
                    <w:bidi w:val="0"/>
                    <w:adjustRightInd w:val="0"/>
                    <w:snapToGrid w:val="0"/>
                    <w:spacing w:after="0" w:line="240" w:lineRule="auto"/>
                    <w:ind w:left="0" w:firstLine="0"/>
                    <w:jc w:val="both"/>
                    <w:textAlignment w:val="baseline"/>
                    <w:rPr>
                      <w:rFonts w:hint="eastAsia" w:ascii="Times New Roman" w:hAnsi="Times New Roman" w:eastAsia="宋体" w:cs="Times New Roman"/>
                      <w:bCs/>
                      <w:color w:val="000000" w:themeColor="text1"/>
                      <w:sz w:val="22"/>
                      <w:szCs w:val="22"/>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2"/>
                      <w:szCs w:val="22"/>
                      <w:vertAlign w:val="baseline"/>
                      <w:lang w:eastAsia="zh-CN"/>
                      <w14:textFill>
                        <w14:solidFill>
                          <w14:schemeClr w14:val="tx1"/>
                        </w14:solidFill>
                      </w14:textFill>
                    </w:rPr>
                    <w:drawing>
                      <wp:inline distT="0" distB="0" distL="114300" distR="114300">
                        <wp:extent cx="2477770" cy="1858645"/>
                        <wp:effectExtent l="0" t="0" r="17780" b="8255"/>
                        <wp:docPr id="44" name="图片 44" descr="7A579E0258F55A472AAE2A4B7E661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A579E0258F55A472AAE2A4B7E661B40"/>
                                <pic:cNvPicPr>
                                  <a:picLocks noChangeAspect="1"/>
                                </pic:cNvPicPr>
                              </pic:nvPicPr>
                              <pic:blipFill>
                                <a:blip r:embed="rId32"/>
                                <a:stretch>
                                  <a:fillRect/>
                                </a:stretch>
                              </pic:blipFill>
                              <pic:spPr>
                                <a:xfrm>
                                  <a:off x="0" y="0"/>
                                  <a:ext cx="2477770" cy="1858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pPr>
                    <w:pStyle w:val="4"/>
                    <w:keepNext w:val="0"/>
                    <w:keepLines w:val="0"/>
                    <w:pageBreakBefore w:val="0"/>
                    <w:widowControl w:val="0"/>
                    <w:kinsoku/>
                    <w:wordWrap/>
                    <w:overflowPunct/>
                    <w:topLinePunct w:val="0"/>
                    <w:autoSpaceDE w:val="0"/>
                    <w:autoSpaceDN w:val="0"/>
                    <w:bidi w:val="0"/>
                    <w:adjustRightInd w:val="0"/>
                    <w:snapToGrid w:val="0"/>
                    <w:spacing w:after="0" w:line="240" w:lineRule="auto"/>
                    <w:ind w:left="0" w:firstLine="0"/>
                    <w:jc w:val="center"/>
                    <w:textAlignment w:val="baseline"/>
                    <w:rPr>
                      <w:rFonts w:hint="eastAsia" w:ascii="Times New Roman" w:hAnsi="Times New Roman" w:eastAsia="宋体" w:cs="Times New Roman"/>
                      <w:bCs/>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2"/>
                      <w:szCs w:val="22"/>
                      <w:vertAlign w:val="baseline"/>
                      <w:lang w:val="en-US" w:eastAsia="zh-CN"/>
                      <w14:textFill>
                        <w14:solidFill>
                          <w14:schemeClr w14:val="tx1"/>
                        </w14:solidFill>
                      </w14:textFill>
                    </w:rPr>
                    <w:t>管理台账</w:t>
                  </w:r>
                </w:p>
              </w:tc>
            </w:tr>
          </w:tbl>
          <w:p>
            <w:pPr>
              <w:keepNext w:val="0"/>
              <w:keepLines w:val="0"/>
              <w:pageBreakBefore w:val="0"/>
              <w:kinsoku/>
              <w:wordWrap/>
              <w:overflowPunct/>
              <w:topLinePunct w:val="0"/>
              <w:bidi w:val="0"/>
              <w:adjustRightInd w:val="0"/>
              <w:spacing w:after="0" w:line="460" w:lineRule="exact"/>
              <w:textAlignment w:val="auto"/>
              <w:rPr>
                <w:rFonts w:hint="eastAsia" w:ascii="Times New Roman" w:hAnsi="Times New Roman" w:eastAsia="宋体" w:cs="Times New Roman"/>
                <w:b/>
                <w:bCs w:val="0"/>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6"/>
                <w:szCs w:val="26"/>
                <w:lang w:val="en-US" w:eastAsia="zh-CN"/>
                <w14:textFill>
                  <w14:solidFill>
                    <w14:schemeClr w14:val="tx1"/>
                  </w14:solidFill>
                </w14:textFill>
              </w:rPr>
              <w:t>3.3.2风险措施</w:t>
            </w:r>
          </w:p>
          <w:p>
            <w:pPr>
              <w:pStyle w:val="18"/>
              <w:keepNext w:val="0"/>
              <w:keepLines w:val="0"/>
              <w:pageBreakBefore w:val="0"/>
              <w:kinsoku/>
              <w:wordWrap/>
              <w:overflowPunct/>
              <w:topLinePunct w:val="0"/>
              <w:bidi w:val="0"/>
              <w:adjustRightInd w:val="0"/>
              <w:spacing w:line="460" w:lineRule="exact"/>
              <w:ind w:firstLine="520" w:firstLineChars="200"/>
              <w:textAlignment w:val="auto"/>
              <w:rPr>
                <w:rFonts w:hint="default"/>
                <w:sz w:val="26"/>
                <w:szCs w:val="26"/>
                <w:lang w:val="en-US" w:eastAsia="zh-CN"/>
              </w:rPr>
            </w:pPr>
            <w:r>
              <w:rPr>
                <w:rFonts w:hint="eastAsia"/>
                <w:sz w:val="26"/>
                <w:szCs w:val="26"/>
                <w:lang w:val="en-US" w:eastAsia="zh-CN"/>
              </w:rPr>
              <w:t>企业暂存的</w:t>
            </w:r>
            <w:r>
              <w:rPr>
                <w:rFonts w:hint="default"/>
                <w:sz w:val="26"/>
                <w:szCs w:val="26"/>
                <w:lang w:val="en-US" w:eastAsia="zh-CN"/>
              </w:rPr>
              <w:t>无水乙醇、丙酮、盐酸、硝酸、硫酸、氢氟酸、冰醋酸等液体物料采用密闭塑料桶或塑料瓶储存，在包装桶或瓶下方设置托盘；丙烷、乙炔气瓶应储存在防爆柜中，远离火种、热源，配置可燃气体泄露报警器。危废暂存区及液体原料区应远离火种、热源，地面采用环氧树脂漆作防渗防腐处理；设置禁烟禁火标识标牌并配备一定数量的消防器材和吸附材料。</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6"/>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2"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14270" cy="1810385"/>
                        <wp:effectExtent l="0" t="0" r="5080" b="18415"/>
                        <wp:docPr id="31" name="图片 31" descr="E9EEEE84F68E78F424CB9D3F2BF78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9EEEE84F68E78F424CB9D3F2BF786A7"/>
                                <pic:cNvPicPr>
                                  <a:picLocks noChangeAspect="1"/>
                                </pic:cNvPicPr>
                              </pic:nvPicPr>
                              <pic:blipFill>
                                <a:blip r:embed="rId33"/>
                                <a:stretch>
                                  <a:fillRect/>
                                </a:stretch>
                              </pic:blipFill>
                              <pic:spPr>
                                <a:xfrm>
                                  <a:off x="0" y="0"/>
                                  <a:ext cx="2414270" cy="1810385"/>
                                </a:xfrm>
                                <a:prstGeom prst="rect">
                                  <a:avLst/>
                                </a:prstGeom>
                              </pic:spPr>
                            </pic:pic>
                          </a:graphicData>
                        </a:graphic>
                      </wp:inline>
                    </w:drawing>
                  </w:r>
                </w:p>
              </w:tc>
              <w:tc>
                <w:tcPr>
                  <w:tcW w:w="2577"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69210" cy="1927225"/>
                        <wp:effectExtent l="0" t="0" r="2540" b="15875"/>
                        <wp:docPr id="32" name="图片 32" descr="E1759A40A02DECAD8093596CA5A21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1759A40A02DECAD8093596CA5A21BDD"/>
                                <pic:cNvPicPr>
                                  <a:picLocks noChangeAspect="1"/>
                                </pic:cNvPicPr>
                              </pic:nvPicPr>
                              <pic:blipFill>
                                <a:blip r:embed="rId34"/>
                                <a:stretch>
                                  <a:fillRect/>
                                </a:stretch>
                              </pic:blipFill>
                              <pic:spPr>
                                <a:xfrm>
                                  <a:off x="0" y="0"/>
                                  <a:ext cx="2569210" cy="1927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2" w:type="pct"/>
                  <w:shd w:val="clear" w:color="auto" w:fill="auto"/>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标识标牌</w:t>
                  </w:r>
                </w:p>
              </w:tc>
              <w:tc>
                <w:tcPr>
                  <w:tcW w:w="2577" w:type="pct"/>
                  <w:shd w:val="clear" w:color="auto" w:fill="auto"/>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防爆柜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422"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414270" cy="1810385"/>
                        <wp:effectExtent l="0" t="0" r="5080" b="18415"/>
                        <wp:docPr id="33" name="图片 33" descr="FA4FE45288D460626CC54FAA1E4EB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A4FE45288D460626CC54FAA1E4EB60F"/>
                                <pic:cNvPicPr>
                                  <a:picLocks noChangeAspect="1"/>
                                </pic:cNvPicPr>
                              </pic:nvPicPr>
                              <pic:blipFill>
                                <a:blip r:embed="rId35"/>
                                <a:stretch>
                                  <a:fillRect/>
                                </a:stretch>
                              </pic:blipFill>
                              <pic:spPr>
                                <a:xfrm>
                                  <a:off x="0" y="0"/>
                                  <a:ext cx="2414270" cy="1810385"/>
                                </a:xfrm>
                                <a:prstGeom prst="rect">
                                  <a:avLst/>
                                </a:prstGeom>
                              </pic:spPr>
                            </pic:pic>
                          </a:graphicData>
                        </a:graphic>
                      </wp:inline>
                    </w:drawing>
                  </w:r>
                </w:p>
              </w:tc>
              <w:tc>
                <w:tcPr>
                  <w:tcW w:w="2577"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69210" cy="1927225"/>
                        <wp:effectExtent l="0" t="0" r="2540" b="15875"/>
                        <wp:docPr id="34" name="图片 34" descr="BA5762B089DF7927DF3AF5E52DDCB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A5762B089DF7927DF3AF5E52DDCB725"/>
                                <pic:cNvPicPr>
                                  <a:picLocks noChangeAspect="1"/>
                                </pic:cNvPicPr>
                              </pic:nvPicPr>
                              <pic:blipFill>
                                <a:blip r:embed="rId36"/>
                                <a:stretch>
                                  <a:fillRect/>
                                </a:stretch>
                              </pic:blipFill>
                              <pic:spPr>
                                <a:xfrm>
                                  <a:off x="0" y="0"/>
                                  <a:ext cx="2569210" cy="1927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2"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报警器</w:t>
                  </w:r>
                </w:p>
              </w:tc>
              <w:tc>
                <w:tcPr>
                  <w:tcW w:w="2577"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00" w:type="pct"/>
                  <w:gridSpan w:val="2"/>
                  <w:shd w:val="clear" w:color="auto" w:fill="auto"/>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风险防范措施</w:t>
                  </w:r>
                </w:p>
              </w:tc>
            </w:tr>
          </w:tbl>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3.3.2排污口规范化设置</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zh-CN"/>
                <w14:textFill>
                  <w14:solidFill>
                    <w14:schemeClr w14:val="tx1"/>
                  </w14:solidFill>
                </w14:textFill>
              </w:rPr>
              <w:t>验收</w:t>
            </w:r>
            <w:r>
              <w:rPr>
                <w:rFonts w:hint="default" w:ascii="Times New Roman" w:hAnsi="Times New Roman" w:eastAsia="宋体" w:cs="Times New Roman"/>
                <w:bCs/>
                <w:color w:val="000000" w:themeColor="text1"/>
                <w:sz w:val="26"/>
                <w:szCs w:val="26"/>
                <w14:textFill>
                  <w14:solidFill>
                    <w14:schemeClr w14:val="tx1"/>
                  </w14:solidFill>
                </w14:textFill>
              </w:rPr>
              <w:t>项目设有废气排放口1个</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废水排放口1个</w:t>
            </w:r>
            <w:r>
              <w:rPr>
                <w:rFonts w:hint="default" w:ascii="Times New Roman" w:hAnsi="Times New Roman" w:eastAsia="宋体" w:cs="Times New Roman"/>
                <w:bCs/>
                <w:color w:val="000000" w:themeColor="text1"/>
                <w:sz w:val="26"/>
                <w:szCs w:val="26"/>
                <w14:textFill>
                  <w14:solidFill>
                    <w14:schemeClr w14:val="tx1"/>
                  </w14:solidFill>
                </w14:textFill>
              </w:rPr>
              <w:t>，排放口均满足《重庆市环境保护局关于印发重庆市排污口规范化清理整治实施方案的通知》（渝环发〔2012〕26号）要求。</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455"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drawing>
                      <wp:inline distT="0" distB="0" distL="114300" distR="114300">
                        <wp:extent cx="2470150" cy="1850390"/>
                        <wp:effectExtent l="0" t="0" r="6350" b="16510"/>
                        <wp:docPr id="40" name="图片 40" descr="2bece445126d6ead88150e10c4fc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bece445126d6ead88150e10c4fceb9"/>
                                <pic:cNvPicPr>
                                  <a:picLocks noChangeAspect="1"/>
                                </pic:cNvPicPr>
                              </pic:nvPicPr>
                              <pic:blipFill>
                                <a:blip r:embed="rId24"/>
                                <a:stretch>
                                  <a:fillRect/>
                                </a:stretch>
                              </pic:blipFill>
                              <pic:spPr>
                                <a:xfrm>
                                  <a:off x="0" y="0"/>
                                  <a:ext cx="2470150" cy="1850390"/>
                                </a:xfrm>
                                <a:prstGeom prst="rect">
                                  <a:avLst/>
                                </a:prstGeom>
                              </pic:spPr>
                            </pic:pic>
                          </a:graphicData>
                        </a:graphic>
                      </wp:inline>
                    </w:drawing>
                  </w:r>
                </w:p>
              </w:tc>
              <w:tc>
                <w:tcPr>
                  <w:tcW w:w="2544" w:type="pct"/>
                  <w:shd w:val="clear" w:color="auto" w:fill="auto"/>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drawing>
                      <wp:inline distT="0" distB="0" distL="114300" distR="114300">
                        <wp:extent cx="2518410" cy="1886585"/>
                        <wp:effectExtent l="0" t="0" r="15240" b="18415"/>
                        <wp:docPr id="42" name="图片 42" descr="dac809cfac4e5e118ffef08f41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ac809cfac4e5e118ffef08f4171705"/>
                                <pic:cNvPicPr>
                                  <a:picLocks noChangeAspect="1"/>
                                </pic:cNvPicPr>
                              </pic:nvPicPr>
                              <pic:blipFill>
                                <a:blip r:embed="rId18"/>
                                <a:stretch>
                                  <a:fillRect/>
                                </a:stretch>
                              </pic:blipFill>
                              <pic:spPr>
                                <a:xfrm>
                                  <a:off x="0" y="0"/>
                                  <a:ext cx="2518410" cy="1886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5"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废气排放口</w:t>
                  </w:r>
                </w:p>
              </w:tc>
              <w:tc>
                <w:tcPr>
                  <w:tcW w:w="2544" w:type="pct"/>
                  <w:shd w:val="clear" w:color="auto" w:fill="auto"/>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00" w:type="pct"/>
                  <w:gridSpan w:val="2"/>
                  <w:shd w:val="clear" w:color="auto" w:fill="auto"/>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排放口</w:t>
                  </w:r>
                </w:p>
              </w:tc>
            </w:tr>
          </w:tbl>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3.4环保设施投资及“三同时”落实情况</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3.4.1环保设施投资</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zh-CN"/>
                <w14:textFill>
                  <w14:solidFill>
                    <w14:schemeClr w14:val="tx1"/>
                  </w14:solidFill>
                </w14:textFill>
              </w:rPr>
              <w:t>验收</w:t>
            </w:r>
            <w:r>
              <w:rPr>
                <w:rFonts w:hint="default" w:ascii="Times New Roman" w:hAnsi="Times New Roman" w:eastAsia="宋体" w:cs="Times New Roman"/>
                <w:bCs/>
                <w:color w:val="000000" w:themeColor="text1"/>
                <w:sz w:val="26"/>
                <w:szCs w:val="26"/>
                <w14:textFill>
                  <w14:solidFill>
                    <w14:schemeClr w14:val="tx1"/>
                  </w14:solidFill>
                </w14:textFill>
              </w:rPr>
              <w:t>项目实际总投资</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5450</w:t>
            </w:r>
            <w:r>
              <w:rPr>
                <w:rFonts w:hint="default" w:ascii="Times New Roman" w:hAnsi="Times New Roman" w:eastAsia="宋体" w:cs="Times New Roman"/>
                <w:bCs/>
                <w:color w:val="000000" w:themeColor="text1"/>
                <w:sz w:val="26"/>
                <w:szCs w:val="26"/>
                <w14:textFill>
                  <w14:solidFill>
                    <w14:schemeClr w14:val="tx1"/>
                  </w14:solidFill>
                </w14:textFill>
              </w:rPr>
              <w:t>万，环保投资为</w:t>
            </w:r>
            <w:r>
              <w:rPr>
                <w:rFonts w:hint="eastAsia" w:ascii="Times New Roman" w:hAnsi="Times New Roman" w:eastAsia="宋体" w:cs="Times New Roman"/>
                <w:color w:val="000000" w:themeColor="text1"/>
                <w:sz w:val="26"/>
                <w:szCs w:val="26"/>
                <w:highlight w:val="none"/>
                <w:lang w:val="en-US" w:eastAsia="zh-CN"/>
                <w14:textFill>
                  <w14:solidFill>
                    <w14:schemeClr w14:val="tx1"/>
                  </w14:solidFill>
                </w14:textFill>
              </w:rPr>
              <w:t>85</w:t>
            </w:r>
            <w:r>
              <w:rPr>
                <w:rFonts w:hint="default" w:ascii="Times New Roman" w:hAnsi="Times New Roman" w:eastAsia="宋体" w:cs="Times New Roman"/>
                <w:bCs/>
                <w:color w:val="000000" w:themeColor="text1"/>
                <w:sz w:val="26"/>
                <w:szCs w:val="26"/>
                <w14:textFill>
                  <w14:solidFill>
                    <w14:schemeClr w14:val="tx1"/>
                  </w14:solidFill>
                </w14:textFill>
              </w:rPr>
              <w:t>万元，占总投资的</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1.6</w:t>
            </w:r>
            <w:r>
              <w:rPr>
                <w:rFonts w:hint="default" w:ascii="Times New Roman" w:hAnsi="Times New Roman" w:eastAsia="宋体" w:cs="Times New Roman"/>
                <w:bCs/>
                <w:color w:val="000000" w:themeColor="text1"/>
                <w:sz w:val="26"/>
                <w:szCs w:val="26"/>
                <w14:textFill>
                  <w14:solidFill>
                    <w14:schemeClr w14:val="tx1"/>
                  </w14:solidFill>
                </w14:textFill>
              </w:rPr>
              <w:t>%。具体见表3.4-1。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表3.4-1   验收项目环保设施投资表</w:t>
            </w:r>
          </w:p>
          <w:tbl>
            <w:tblPr>
              <w:tblStyle w:val="13"/>
              <w:tblW w:w="494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1081"/>
              <w:gridCol w:w="883"/>
              <w:gridCol w:w="1626"/>
              <w:gridCol w:w="3276"/>
              <w:gridCol w:w="1326"/>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trPr>
              <w:tc>
                <w:tcPr>
                  <w:tcW w:w="660" w:type="pc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内容</w:t>
                  </w:r>
                </w:p>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p>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类型</w:t>
                  </w: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排放源</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污染物</w:t>
                  </w:r>
                </w:p>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名称</w:t>
                  </w:r>
                </w:p>
              </w:tc>
              <w:tc>
                <w:tcPr>
                  <w:tcW w:w="19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防治措施</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治理投资（万元）</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806" w:hRule="atLeast"/>
              </w:trPr>
              <w:tc>
                <w:tcPr>
                  <w:tcW w:w="66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大气污染物</w:t>
                  </w:r>
                </w:p>
              </w:tc>
              <w:tc>
                <w:tcPr>
                  <w:tcW w:w="539"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1#排气筒</w:t>
                  </w:r>
                </w:p>
              </w:tc>
              <w:tc>
                <w:tcPr>
                  <w:tcW w:w="992"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流量、流速、氯化氢</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硫酸雾</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氟化物</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氮氧化物</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非甲烷总烃</w:t>
                  </w:r>
                </w:p>
              </w:tc>
              <w:tc>
                <w:tcPr>
                  <w:tcW w:w="1998"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集气设施</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收集后经“</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碱液喷淋+除雾+活性炭吸附</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”处理后通过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m高排气筒排放</w:t>
                  </w:r>
                </w:p>
              </w:tc>
              <w:tc>
                <w:tcPr>
                  <w:tcW w:w="809"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570" w:hRule="atLeast"/>
              </w:trPr>
              <w:tc>
                <w:tcPr>
                  <w:tcW w:w="66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水污染物</w:t>
                  </w: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生产废水排口</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pH、</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SS</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氨氮</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2"/>
                      <w:szCs w:val="22"/>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、总铜、总镍、石油类、氟化物、LAS</w:t>
                  </w:r>
                </w:p>
              </w:tc>
              <w:tc>
                <w:tcPr>
                  <w:tcW w:w="19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产废水经污水处理设施处理满足预处理标准后排入市政管网，污水处理设施设计处理规模为55m3/d，处理工艺为“中和反应+沉淀+活性炭吸附+pH调节”。含镍废水需单独预处理达标后排入调节池。生产废水所有收集管道采用抗老化、抗腐蚀材料制造而成，并做到可视化，标注管道类别、废水流向等标识标牌。</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生活污水</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排放口</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pH、</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SS</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氨氮</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BOD5</w:t>
                  </w:r>
                </w:p>
              </w:tc>
              <w:tc>
                <w:tcPr>
                  <w:tcW w:w="19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生活污水依托已建生化池处理后排入市政管网，生化池设计处理规模为450m3/d，处理工艺为“调节+厌氧+沉淀”。</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trPr>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噪声</w:t>
                  </w: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噪声</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噪声</w:t>
                  </w:r>
                </w:p>
              </w:tc>
              <w:tc>
                <w:tcPr>
                  <w:tcW w:w="19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基础减震、墙体隔声</w:t>
                  </w:r>
                </w:p>
              </w:tc>
              <w:tc>
                <w:tcPr>
                  <w:tcW w:w="809" w:type="pct"/>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35" w:hRule="atLeast"/>
              </w:trPr>
              <w:tc>
                <w:tcPr>
                  <w:tcW w:w="66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p>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固体废物</w:t>
                  </w:r>
                </w:p>
              </w:tc>
              <w:tc>
                <w:tcPr>
                  <w:tcW w:w="5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厂房及办公室</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危险废物</w:t>
                  </w:r>
                </w:p>
              </w:tc>
              <w:tc>
                <w:tcPr>
                  <w:tcW w:w="1998"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设置1间危废暂存区</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，危险废物转移应按照危废转移联单制度相关规定执行。危废暂存区应采取“防风、防雨、防晒、防渗漏”四防措施</w:t>
                  </w:r>
                </w:p>
              </w:tc>
              <w:tc>
                <w:tcPr>
                  <w:tcW w:w="809"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6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p>
              </w:tc>
              <w:tc>
                <w:tcPr>
                  <w:tcW w:w="5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w:t>
                  </w:r>
                </w:p>
              </w:tc>
              <w:tc>
                <w:tcPr>
                  <w:tcW w:w="1998" w:type="pct"/>
                  <w:tcBorders>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1间</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一般工业固废暂存</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，面积约20</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2"/>
                      <w:szCs w:val="22"/>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集中收集后交</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物资回收单位处理。</w:t>
                  </w:r>
                </w:p>
              </w:tc>
              <w:tc>
                <w:tcPr>
                  <w:tcW w:w="809" w:type="pct"/>
                  <w:tcBorders>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60" w:type="pct"/>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环境风险</w:t>
                  </w:r>
                </w:p>
              </w:tc>
              <w:tc>
                <w:tcPr>
                  <w:tcW w:w="153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风险防范措施</w:t>
                  </w:r>
                </w:p>
              </w:tc>
              <w:tc>
                <w:tcPr>
                  <w:tcW w:w="1998" w:type="pct"/>
                  <w:tcBorders>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无水乙醇、丙酮、盐酸、硝酸、硫酸、氢氟酸、冰醋酸等液体物料采用密闭塑料桶或塑料瓶储存，在包装桶或瓶下方设置托盘；丙烷、乙炔气瓶应储存在防爆柜中，远离火种、热源，配置可燃气体</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报警器。危废暂存区及液体原料区应远离火种、热源，地面采用环氧树脂漆作防渗防腐处理；设置禁烟禁火标识标牌并配备一定数量的消防器材和吸附材料</w:t>
                  </w:r>
                </w:p>
              </w:tc>
              <w:tc>
                <w:tcPr>
                  <w:tcW w:w="809" w:type="pct"/>
                  <w:tcBorders>
                    <w:left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trPr>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合计</w:t>
                  </w:r>
                </w:p>
              </w:tc>
              <w:tc>
                <w:tcPr>
                  <w:tcW w:w="353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总投资5450万元</w:t>
                  </w:r>
                </w:p>
              </w:tc>
              <w:tc>
                <w:tcPr>
                  <w:tcW w:w="809" w:type="pct"/>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val="0"/>
                    <w:topLinePunct w:val="0"/>
                    <w:bidi w:val="0"/>
                    <w:spacing w:after="0" w:line="240" w:lineRule="auto"/>
                    <w:ind w:firstLine="0" w:firstLineChars="0"/>
                    <w:jc w:val="cente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85</w:t>
                  </w:r>
                </w:p>
              </w:tc>
            </w:tr>
          </w:tbl>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3.4.2环保设施“三同时”落实情况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根据项目环评表及环评批复，项目环保设施落实情况见表3.4-2。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表3.4-2   项目环评及批复文件环保设施落实情况一览表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046"/>
              <w:gridCol w:w="3061"/>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类别</w:t>
                  </w:r>
                </w:p>
              </w:tc>
              <w:tc>
                <w:tcPr>
                  <w:tcW w:w="1835"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环评及批复要求</w:t>
                  </w:r>
                </w:p>
              </w:tc>
              <w:tc>
                <w:tcPr>
                  <w:tcW w:w="1844"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实际建设情况</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废水</w:t>
                  </w:r>
                </w:p>
              </w:tc>
              <w:tc>
                <w:tcPr>
                  <w:tcW w:w="18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生产废水经污水处理设施处理满足预处理标准后排入市政管网，污水处理设施设计处理规模为55m</w:t>
                  </w:r>
                  <w:r>
                    <w:rPr>
                      <w:rFonts w:hint="eastAsia" w:ascii="Times New Roman" w:hAnsi="Times New Roman" w:eastAsia="宋体" w:cs="Times New Roman"/>
                      <w:color w:val="000000" w:themeColor="text1"/>
                      <w:kern w:val="2"/>
                      <w:sz w:val="22"/>
                      <w:szCs w:val="22"/>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d，处理工艺为“中和反应+沉淀+活性炭吸附+pH调节”。含镍废水需单独预处理达标后排入调节池。生产废水所有收集管道采用抗老化、抗腐蚀材料制造而成，并做到可视化，标注管道类别、废水流向等标识标牌。</w:t>
                  </w:r>
                </w:p>
              </w:tc>
              <w:tc>
                <w:tcPr>
                  <w:tcW w:w="184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生产废水经污水处理设施处理满足预处理标准后排入市政管网，污水处理设施设计处理规模为55m</w:t>
                  </w:r>
                  <w:r>
                    <w:rPr>
                      <w:rFonts w:hint="eastAsia" w:ascii="Times New Roman" w:hAnsi="Times New Roman" w:eastAsia="宋体" w:cs="Times New Roman"/>
                      <w:color w:val="000000" w:themeColor="text1"/>
                      <w:kern w:val="2"/>
                      <w:sz w:val="22"/>
                      <w:szCs w:val="22"/>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d，处理工艺为“中和反应+沉淀+活性炭吸附+pH调节”。含镍废水需单独预处理达标后排入调节池。生产废水所有收集管道采用抗老化、抗腐蚀材料制造而成，并做到可视化，标注管道类别、废水流向等标识标牌。</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废气</w:t>
                  </w:r>
                </w:p>
              </w:tc>
              <w:tc>
                <w:tcPr>
                  <w:tcW w:w="18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集气设施</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收集后经“</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碱液喷淋+除雾+活性炭吸附</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”处理后通过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m高排气筒排放</w:t>
                  </w:r>
                </w:p>
              </w:tc>
              <w:tc>
                <w:tcPr>
                  <w:tcW w:w="184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集气设施</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收集后经“</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碱液喷淋+除雾+活性炭吸附</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”处理后通过</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m高排气筒排放</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噪声</w:t>
                  </w:r>
                </w:p>
              </w:tc>
              <w:tc>
                <w:tcPr>
                  <w:tcW w:w="1835"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lang w:val="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墙体隔声、减振等综合降噪措施。</w:t>
                  </w:r>
                </w:p>
              </w:tc>
              <w:tc>
                <w:tcPr>
                  <w:tcW w:w="1844"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项目选用了低噪声设备，噪声设备均置于室内，对噪声设备采取了基础减振，隔声等措施，同时加强设备的维护和管理。</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8" w:type="pct"/>
                  <w:vMerge w:val="restar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固体</w:t>
                  </w:r>
                </w:p>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废物</w:t>
                  </w:r>
                </w:p>
              </w:tc>
              <w:tc>
                <w:tcPr>
                  <w:tcW w:w="18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2"/>
                      <w:szCs w:val="22"/>
                      <w:lang w:val="en-GB"/>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设置1间危废暂存区</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，危险废物转移应按照危废转移联单制度相关规定执行。危废暂存区应采取“防风、防雨、防晒、防渗漏”四防措施</w:t>
                  </w:r>
                </w:p>
              </w:tc>
              <w:tc>
                <w:tcPr>
                  <w:tcW w:w="184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pacing w:val="-4"/>
                      <w:sz w:val="22"/>
                      <w:szCs w:val="22"/>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设置1间危废暂存区</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，危险废物转移应按照危废转移联单制度相关规定执行。危废暂存区应采取“防风、防雨、防晒、防渗漏”四防措施</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pct"/>
                  <w:vMerge w:val="continue"/>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p>
              </w:tc>
              <w:tc>
                <w:tcPr>
                  <w:tcW w:w="18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2"/>
                      <w:szCs w:val="22"/>
                      <w:lang w:val="en-GB"/>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1间</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一般工业固废暂存</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，面积约20</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2"/>
                      <w:szCs w:val="22"/>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集中收集后交</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物资回收单位处理。</w:t>
                  </w:r>
                </w:p>
              </w:tc>
              <w:tc>
                <w:tcPr>
                  <w:tcW w:w="184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snapToGrid w:val="0"/>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设置</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1间</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一般工业固废暂存</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，面积约20</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2"/>
                      <w:szCs w:val="22"/>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，一般工业固废</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集中收集后交</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物资回收单位处理。</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环境风险</w:t>
                  </w:r>
                </w:p>
              </w:tc>
              <w:tc>
                <w:tcPr>
                  <w:tcW w:w="18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2"/>
                      <w:szCs w:val="22"/>
                      <w:lang w:val="en-GB"/>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无水乙醇、丙酮、盐酸、硝酸、硫酸、氢氟酸、冰醋酸等液体物料采用密闭塑料桶或塑料瓶储存，在包装桶或瓶下方设置托盘；丙烷、乙炔气瓶应储存在防爆柜中，远离火种、热源，配置可燃气体</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报警器。危废暂存区及液体原料区应远离火种、热源，地面采用环氧树脂漆作防渗防腐处理；设置禁烟禁火标识标牌并配备一定数量的消防器材和吸附材料</w:t>
                  </w:r>
                </w:p>
              </w:tc>
              <w:tc>
                <w:tcPr>
                  <w:tcW w:w="184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无水乙醇、丙酮、盐酸、硝酸、硫酸、氢氟酸、冰醋酸等液体物料采用密闭塑料桶或塑料瓶储存，在包装桶或瓶下方设置托盘；丙烷、乙炔气瓶应储存在防爆柜中，远离火种、热源，配置可燃气体</w:t>
                  </w:r>
                  <w:r>
                    <w:rPr>
                      <w:rFonts w:hint="eastAsia" w:ascii="Times New Roman" w:hAnsi="Times New Roman" w:eastAsia="宋体" w:cs="Times New Roman"/>
                      <w:color w:val="000000" w:themeColor="text1"/>
                      <w:kern w:val="2"/>
                      <w:sz w:val="22"/>
                      <w:szCs w:val="22"/>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2"/>
                      <w:szCs w:val="22"/>
                      <w:lang w:val="en-US" w:eastAsia="zh-CN" w:bidi="ar-SA"/>
                      <w14:textFill>
                        <w14:solidFill>
                          <w14:schemeClr w14:val="tx1"/>
                        </w14:solidFill>
                      </w14:textFill>
                    </w:rPr>
                    <w:t>报警器。危废暂存区及液体原料区应远离火种、热源，地面采用环氧树脂漆作防渗防腐处理；设置禁烟禁火标识标牌并配备一定数量的消防器材和吸附材料</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58"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环境管理</w:t>
                  </w:r>
                </w:p>
              </w:tc>
              <w:tc>
                <w:tcPr>
                  <w:tcW w:w="1835"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制度环保管理制度，</w:t>
                  </w:r>
                  <w:r>
                    <w:rPr>
                      <w:rFonts w:hint="eastAsia" w:cs="Times New Roman"/>
                      <w:color w:val="000000" w:themeColor="text1"/>
                      <w:sz w:val="22"/>
                      <w:szCs w:val="22"/>
                      <w:lang w:eastAsia="zh-CN"/>
                      <w14:textFill>
                        <w14:solidFill>
                          <w14:schemeClr w14:val="tx1"/>
                        </w14:solidFill>
                      </w14:textFill>
                    </w:rPr>
                    <w:t>指定专人</w:t>
                  </w:r>
                  <w:r>
                    <w:rPr>
                      <w:rFonts w:hint="default" w:ascii="Times New Roman" w:hAnsi="Times New Roman" w:eastAsia="宋体" w:cs="Times New Roman"/>
                      <w:color w:val="000000" w:themeColor="text1"/>
                      <w:sz w:val="22"/>
                      <w:szCs w:val="22"/>
                      <w14:textFill>
                        <w14:solidFill>
                          <w14:schemeClr w14:val="tx1"/>
                        </w14:solidFill>
                      </w14:textFill>
                    </w:rPr>
                    <w:t>负责环境管理。</w:t>
                  </w:r>
                </w:p>
              </w:tc>
              <w:tc>
                <w:tcPr>
                  <w:tcW w:w="1844"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2"/>
                      <w:szCs w:val="22"/>
                      <w14:textFill>
                        <w14:solidFill>
                          <w14:schemeClr w14:val="tx1"/>
                        </w14:solidFill>
                      </w14:textFill>
                    </w:rPr>
                  </w:pPr>
                  <w:r>
                    <w:rPr>
                      <w:rFonts w:hint="default" w:ascii="Times New Roman" w:hAnsi="Times New Roman" w:eastAsia="宋体" w:cs="Times New Roman"/>
                      <w:bCs/>
                      <w:color w:val="000000" w:themeColor="text1"/>
                      <w:sz w:val="22"/>
                      <w:szCs w:val="22"/>
                      <w14:textFill>
                        <w14:solidFill>
                          <w14:schemeClr w14:val="tx1"/>
                        </w14:solidFill>
                      </w14:textFill>
                    </w:rPr>
                    <w:t>公司配备了环保管理人员兼职治理设施操作人员</w:t>
                  </w:r>
                  <w:r>
                    <w:rPr>
                      <w:rFonts w:hint="eastAsia" w:cs="Times New Roman"/>
                      <w:bCs/>
                      <w:color w:val="000000" w:themeColor="text1"/>
                      <w:sz w:val="22"/>
                      <w:szCs w:val="22"/>
                      <w:lang w:val="en-US" w:eastAsia="zh-CN"/>
                      <w14:textFill>
                        <w14:solidFill>
                          <w14:schemeClr w14:val="tx1"/>
                        </w14:solidFill>
                      </w14:textFill>
                    </w:rPr>
                    <w:t>2</w:t>
                  </w:r>
                  <w:r>
                    <w:rPr>
                      <w:rFonts w:hint="default" w:ascii="Times New Roman" w:hAnsi="Times New Roman" w:eastAsia="宋体" w:cs="Times New Roman"/>
                      <w:bCs/>
                      <w:color w:val="000000" w:themeColor="text1"/>
                      <w:sz w:val="22"/>
                      <w:szCs w:val="22"/>
                      <w14:textFill>
                        <w14:solidFill>
                          <w14:schemeClr w14:val="tx1"/>
                        </w14:solidFill>
                      </w14:textFill>
                    </w:rPr>
                    <w:t>名；建立了环保管理制度，环保管理基本满足要求。设有专门的档案册，不存在相关环保制度、文件和手续乱放现象。公司建立了环保档案，有环评及其批复、各种管理制度等文件。</w:t>
                  </w:r>
                </w:p>
              </w:tc>
              <w:tc>
                <w:tcPr>
                  <w:tcW w:w="861" w:type="pct"/>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已落实</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项目按照相关法律法规要求进行了环境影响评价，环保审批手续齐全。对照环评阶段，项目环保设施基本与环评阶段一致，无重大变动。项目配套的环保设施与主体工程基本做到同时设计、同时施工、同时投入使用，本项目满足环保设施“三同时”要求。</w:t>
            </w:r>
          </w:p>
        </w:tc>
      </w:tr>
    </w:tbl>
    <w:p>
      <w:pPr>
        <w:pStyle w:val="37"/>
        <w:ind w:right="-2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表四</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建设项目环境影响报告表主要结论及审批部门审批决定：</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8" w:name="_Toc512518737"/>
            <w:r>
              <w:rPr>
                <w:rFonts w:hint="default" w:ascii="Times New Roman" w:hAnsi="Times New Roman" w:eastAsia="宋体" w:cs="Times New Roman"/>
                <w:b/>
                <w:color w:val="000000" w:themeColor="text1"/>
                <w:sz w:val="26"/>
                <w:szCs w:val="26"/>
                <w14:textFill>
                  <w14:solidFill>
                    <w14:schemeClr w14:val="tx1"/>
                  </w14:solidFill>
                </w14:textFill>
              </w:rPr>
              <w:t>4.1环评报告表的主要结论与建议</w:t>
            </w:r>
            <w:bookmarkEnd w:id="8"/>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4.1.4项目环境影响分析及污染防治措施</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（1）废水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生产废水经污水处理设施处理满足预处理标准后排入市政管网，污水处理设施设计处理规模为55m3/d，处理工艺为“中和反应+沉淀+活性炭吸附+pH调节”。含镍废水需单独预处理达标后排入调节池。生产废水所有收集管道采用抗老化、抗腐蚀材料制造而成，并做到可视化，标注管道类别、废水流向等标识标牌。生活污水依托已建生化池处理后排入市政管网，生化池设计处理规模为450m3/d，处理工艺为“调节+厌氧+沉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企业产生的废水均</w:t>
            </w:r>
            <w:r>
              <w:rPr>
                <w:rFonts w:hint="default" w:ascii="Times New Roman" w:hAnsi="Times New Roman" w:eastAsia="宋体" w:cs="Times New Roman"/>
                <w:bCs/>
                <w:color w:val="000000" w:themeColor="text1"/>
                <w:sz w:val="26"/>
                <w:szCs w:val="26"/>
                <w14:textFill>
                  <w14:solidFill>
                    <w14:schemeClr w14:val="tx1"/>
                  </w14:solidFill>
                </w14:textFill>
              </w:rPr>
              <w:t>能够实现达标排放，对环境影响较小。</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（2）废气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产生的酸雾和有机废气通过集气设施收集，进入1套“碱液喷淋+除雾+活性炭吸附”装置处理后经15m高排气筒排放。机加工产生的金属粉尘经磨床自带吸尘装置收集处理后无组织排放。丙烷燃烧废气呈无组织排放。</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企业产生的废气均</w:t>
            </w:r>
            <w:r>
              <w:rPr>
                <w:rFonts w:hint="default" w:ascii="Times New Roman" w:hAnsi="Times New Roman" w:eastAsia="宋体" w:cs="Times New Roman"/>
                <w:bCs/>
                <w:color w:val="000000" w:themeColor="text1"/>
                <w:sz w:val="26"/>
                <w:szCs w:val="26"/>
                <w14:textFill>
                  <w14:solidFill>
                    <w14:schemeClr w14:val="tx1"/>
                  </w14:solidFill>
                </w14:textFill>
              </w:rPr>
              <w:t>能够实现达标排放，对环境影响较小。</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项目台式钻床、</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数控车床</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磨床</w:t>
            </w:r>
            <w:r>
              <w:rPr>
                <w:rFonts w:hint="default" w:ascii="Times New Roman" w:hAnsi="Times New Roman" w:eastAsia="宋体" w:cs="Times New Roman"/>
                <w:bCs/>
                <w:color w:val="000000" w:themeColor="text1"/>
                <w:sz w:val="26"/>
                <w:szCs w:val="26"/>
                <w:lang w:eastAsia="zh-CN"/>
                <w14:textFill>
                  <w14:solidFill>
                    <w14:schemeClr w14:val="tx1"/>
                  </w14:solidFill>
                </w14:textFill>
              </w:rPr>
              <w:t>夜间不进行生产。</w:t>
            </w:r>
            <w:r>
              <w:rPr>
                <w:rFonts w:hint="default" w:ascii="Times New Roman" w:hAnsi="Times New Roman" w:eastAsia="宋体" w:cs="Times New Roman"/>
                <w:bCs/>
                <w:color w:val="000000" w:themeColor="text1"/>
                <w:sz w:val="26"/>
                <w:szCs w:val="26"/>
                <w14:textFill>
                  <w14:solidFill>
                    <w14:schemeClr w14:val="tx1"/>
                  </w14:solidFill>
                </w14:textFill>
              </w:rPr>
              <w:t>根据预测结果，</w:t>
            </w:r>
            <w:r>
              <w:rPr>
                <w:rFonts w:hint="default" w:ascii="Times New Roman" w:hAnsi="Times New Roman" w:eastAsia="宋体" w:cs="Times New Roman"/>
                <w:bCs/>
                <w:color w:val="000000" w:themeColor="text1"/>
                <w:sz w:val="26"/>
                <w:szCs w:val="26"/>
                <w:lang w:eastAsia="zh-CN"/>
                <w14:textFill>
                  <w14:solidFill>
                    <w14:schemeClr w14:val="tx1"/>
                  </w14:solidFill>
                </w14:textFill>
              </w:rPr>
              <w:t>本项目</w:t>
            </w:r>
            <w:r>
              <w:rPr>
                <w:rFonts w:hint="default" w:ascii="Times New Roman" w:hAnsi="Times New Roman" w:eastAsia="宋体" w:cs="Times New Roman"/>
                <w:bCs/>
                <w:color w:val="000000" w:themeColor="text1"/>
                <w:sz w:val="26"/>
                <w:szCs w:val="26"/>
                <w14:textFill>
                  <w14:solidFill>
                    <w14:schemeClr w14:val="tx1"/>
                  </w14:solidFill>
                </w14:textFill>
              </w:rPr>
              <w:t>主要噪声设备经过基础减振、厂房隔声、距离衰减</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厂界昼间</w:t>
            </w:r>
            <w:r>
              <w:rPr>
                <w:rFonts w:hint="default" w:ascii="Times New Roman" w:hAnsi="Times New Roman" w:eastAsia="宋体" w:cs="Times New Roman"/>
                <w:bCs/>
                <w:color w:val="000000" w:themeColor="text1"/>
                <w:sz w:val="26"/>
                <w:szCs w:val="26"/>
                <w:lang w:eastAsia="zh-CN"/>
                <w14:textFill>
                  <w14:solidFill>
                    <w14:schemeClr w14:val="tx1"/>
                  </w14:solidFill>
                </w14:textFill>
              </w:rPr>
              <w:t>、夜间</w:t>
            </w:r>
            <w:r>
              <w:rPr>
                <w:rFonts w:hint="default" w:ascii="Times New Roman" w:hAnsi="Times New Roman" w:eastAsia="宋体" w:cs="Times New Roman"/>
                <w:bCs/>
                <w:color w:val="000000" w:themeColor="text1"/>
                <w:sz w:val="26"/>
                <w:szCs w:val="26"/>
                <w14:textFill>
                  <w14:solidFill>
                    <w14:schemeClr w14:val="tx1"/>
                  </w14:solidFill>
                </w14:textFill>
              </w:rPr>
              <w:t>噪声预测值均能达到《工业企业厂界环境噪声排放标准》</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GB12348-2008</w:t>
            </w:r>
            <w:r>
              <w:rPr>
                <w:rFonts w:hint="default"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3类标准要求。对外环境的影响较小。</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本项目营运期将产生一般工业固体废物、危险废物、生活垃圾。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1）一般工业固废</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lang w:val="en-GB"/>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项目厂区产生一般工业固废主要包括</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厂房西南侧</w:t>
            </w:r>
            <w:r>
              <w:rPr>
                <w:rFonts w:hint="default" w:ascii="Times New Roman" w:hAnsi="Times New Roman" w:eastAsia="宋体" w:cs="Times New Roman"/>
                <w:bCs/>
                <w:color w:val="000000" w:themeColor="text1"/>
                <w:sz w:val="26"/>
                <w:szCs w:val="26"/>
                <w:lang w:val="en-GB"/>
                <w14:textFill>
                  <w14:solidFill>
                    <w14:schemeClr w14:val="tx1"/>
                  </w14:solidFill>
                </w14:textFill>
              </w:rPr>
              <w:t>设置有1处</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w:t>
            </w:r>
            <w:r>
              <w:rPr>
                <w:rFonts w:hint="default" w:ascii="Times New Roman" w:hAnsi="Times New Roman" w:eastAsia="宋体" w:cs="Times New Roman"/>
                <w:bCs/>
                <w:color w:val="000000" w:themeColor="text1"/>
                <w:sz w:val="26"/>
                <w:szCs w:val="26"/>
                <w:lang w:val="en-GB"/>
                <w14:textFill>
                  <w14:solidFill>
                    <w14:schemeClr w14:val="tx1"/>
                  </w14:solidFill>
                </w14:textFill>
              </w:rPr>
              <w:t>m</w:t>
            </w:r>
            <w:r>
              <w:rPr>
                <w:rFonts w:hint="default" w:ascii="Times New Roman" w:hAnsi="Times New Roman" w:eastAsia="宋体" w:cs="Times New Roman"/>
                <w:bCs/>
                <w:color w:val="000000" w:themeColor="text1"/>
                <w:sz w:val="26"/>
                <w:szCs w:val="26"/>
                <w:vertAlign w:val="superscript"/>
                <w:lang w:val="en-GB"/>
                <w14:textFill>
                  <w14:solidFill>
                    <w14:schemeClr w14:val="tx1"/>
                  </w14:solidFill>
                </w14:textFill>
              </w:rPr>
              <w:t>2</w:t>
            </w:r>
            <w:r>
              <w:rPr>
                <w:rFonts w:hint="default" w:ascii="Times New Roman" w:hAnsi="Times New Roman" w:eastAsia="宋体" w:cs="Times New Roman"/>
                <w:bCs/>
                <w:color w:val="000000" w:themeColor="text1"/>
                <w:sz w:val="26"/>
                <w:szCs w:val="26"/>
                <w:lang w:val="en-GB"/>
                <w14:textFill>
                  <w14:solidFill>
                    <w14:schemeClr w14:val="tx1"/>
                  </w14:solidFill>
                </w14:textFill>
              </w:rPr>
              <w:t>的一般固废暂存区。</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收集后暂存于一般固废暂存区定期外卖废品回收站。</w:t>
            </w:r>
            <w:r>
              <w:rPr>
                <w:rFonts w:hint="default" w:ascii="Times New Roman" w:hAnsi="Times New Roman" w:eastAsia="宋体" w:cs="Times New Roman"/>
                <w:bCs/>
                <w:color w:val="000000" w:themeColor="text1"/>
                <w:sz w:val="26"/>
                <w:szCs w:val="26"/>
                <w:lang w:val="en-GB"/>
                <w14:textFill>
                  <w14:solidFill>
                    <w14:schemeClr w14:val="tx1"/>
                  </w14:solidFill>
                </w14:textFill>
              </w:rPr>
              <w:t>项目一般固废暂存间均</w:t>
            </w:r>
            <w:r>
              <w:rPr>
                <w:rFonts w:hint="default" w:ascii="Times New Roman" w:hAnsi="Times New Roman" w:eastAsia="宋体" w:cs="Times New Roman"/>
                <w:bCs/>
                <w:color w:val="000000" w:themeColor="text1"/>
                <w:sz w:val="26"/>
                <w:szCs w:val="26"/>
                <w14:textFill>
                  <w14:solidFill>
                    <w14:schemeClr w14:val="tx1"/>
                  </w14:solidFill>
                </w14:textFill>
              </w:rPr>
              <w:t>满足相应防渗漏、防雨淋、防扬尘等环境保护要求。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w:t>
            </w:r>
            <w:r>
              <w:rPr>
                <w:rFonts w:hint="default" w:ascii="Times New Roman" w:hAnsi="Times New Roman" w:eastAsia="宋体" w:cs="Times New Roman"/>
                <w:bCs/>
                <w:color w:val="000000" w:themeColor="text1"/>
                <w:sz w:val="26"/>
                <w:szCs w:val="26"/>
                <w:lang w:eastAsia="zh-CN"/>
                <w14:textFill>
                  <w14:solidFill>
                    <w14:schemeClr w14:val="tx1"/>
                  </w14:solidFill>
                </w14:textFill>
              </w:rPr>
              <w:t>危险废物</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项目厂区产生危险废物主要包括</w:t>
            </w:r>
            <w:r>
              <w:rPr>
                <w:rFonts w:hint="default" w:ascii="Times New Roman" w:hAnsi="Times New Roman" w:eastAsia="宋体" w:cs="Times New Roman"/>
                <w:bCs/>
                <w:color w:val="000000" w:themeColor="text1"/>
                <w:sz w:val="26"/>
                <w:szCs w:val="26"/>
                <w:lang w:eastAsia="zh-CN"/>
                <w14:textFill>
                  <w14:solidFill>
                    <w14:schemeClr w14:val="tx1"/>
                  </w14:solidFill>
                </w14:textFill>
              </w:rPr>
              <w:t>废活性炭</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切削液</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废棉纱手套、废变压器油</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、废包装桶、污泥、废机油、废机油桶</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暂存于</w:t>
            </w:r>
            <w:r>
              <w:rPr>
                <w:rFonts w:hint="default" w:ascii="Times New Roman" w:hAnsi="Times New Roman" w:eastAsia="宋体" w:cs="Times New Roman"/>
                <w:bCs/>
                <w:color w:val="000000" w:themeColor="text1"/>
                <w:sz w:val="26"/>
                <w:szCs w:val="26"/>
                <w14:textFill>
                  <w14:solidFill>
                    <w14:schemeClr w14:val="tx1"/>
                  </w14:solidFill>
                </w14:textFill>
              </w:rPr>
              <w:t>厂区</w:t>
            </w:r>
            <w:r>
              <w:rPr>
                <w:rFonts w:hint="default" w:ascii="Times New Roman" w:hAnsi="Times New Roman" w:eastAsia="宋体" w:cs="Times New Roman"/>
                <w:bCs/>
                <w:color w:val="000000" w:themeColor="text1"/>
                <w:sz w:val="26"/>
                <w:szCs w:val="26"/>
                <w:lang w:val="en-GB"/>
                <w14:textFill>
                  <w14:solidFill>
                    <w14:schemeClr w14:val="tx1"/>
                  </w14:solidFill>
                </w14:textFill>
              </w:rPr>
              <w:t>西北</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侧</w:t>
            </w:r>
            <w:r>
              <w:rPr>
                <w:rFonts w:hint="default" w:ascii="Times New Roman" w:hAnsi="Times New Roman" w:eastAsia="宋体" w:cs="Times New Roman"/>
                <w:bCs/>
                <w:color w:val="000000" w:themeColor="text1"/>
                <w:sz w:val="26"/>
                <w:szCs w:val="26"/>
                <w:lang w:val="en-GB"/>
                <w14:textFill>
                  <w14:solidFill>
                    <w14:schemeClr w14:val="tx1"/>
                  </w14:solidFill>
                </w14:textFill>
              </w:rPr>
              <w:t>设置有1间</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w:t>
            </w:r>
            <w:r>
              <w:rPr>
                <w:rFonts w:hint="default" w:ascii="Times New Roman" w:hAnsi="Times New Roman" w:eastAsia="宋体" w:cs="Times New Roman"/>
                <w:bCs/>
                <w:color w:val="000000" w:themeColor="text1"/>
                <w:sz w:val="26"/>
                <w:szCs w:val="26"/>
                <w:lang w:val="en-GB"/>
                <w14:textFill>
                  <w14:solidFill>
                    <w14:schemeClr w14:val="tx1"/>
                  </w14:solidFill>
                </w14:textFill>
              </w:rPr>
              <w:t>m</w:t>
            </w:r>
            <w:r>
              <w:rPr>
                <w:rFonts w:hint="default" w:ascii="Times New Roman" w:hAnsi="Times New Roman" w:eastAsia="宋体" w:cs="Times New Roman"/>
                <w:bCs/>
                <w:color w:val="000000" w:themeColor="text1"/>
                <w:sz w:val="26"/>
                <w:szCs w:val="26"/>
                <w:vertAlign w:val="superscript"/>
                <w:lang w:val="en-GB"/>
                <w14:textFill>
                  <w14:solidFill>
                    <w14:schemeClr w14:val="tx1"/>
                  </w14:solidFill>
                </w14:textFill>
              </w:rPr>
              <w:t>2</w:t>
            </w:r>
            <w:r>
              <w:rPr>
                <w:rFonts w:hint="default" w:ascii="Times New Roman" w:hAnsi="Times New Roman" w:eastAsia="宋体" w:cs="Times New Roman"/>
                <w:bCs/>
                <w:color w:val="000000" w:themeColor="text1"/>
                <w:sz w:val="26"/>
                <w:szCs w:val="26"/>
                <w:lang w:val="en-GB"/>
                <w14:textFill>
                  <w14:solidFill>
                    <w14:schemeClr w14:val="tx1"/>
                  </w14:solidFill>
                </w14:textFill>
              </w:rPr>
              <w:t>的危废暂存间。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项目危险废物采用专用容器分类收集，暂存于危险废物暂存间，定期交由</w:t>
            </w: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重庆新艮犇环保科技有限公司</w:t>
            </w:r>
            <w:r>
              <w:rPr>
                <w:rFonts w:hint="default" w:ascii="Times New Roman" w:hAnsi="Times New Roman" w:eastAsia="宋体" w:cs="Times New Roman"/>
                <w:bCs/>
                <w:color w:val="000000" w:themeColor="text1"/>
                <w:sz w:val="26"/>
                <w:szCs w:val="26"/>
                <w14:textFill>
                  <w14:solidFill>
                    <w14:schemeClr w14:val="tx1"/>
                  </w14:solidFill>
                </w14:textFill>
              </w:rPr>
              <w:t>进行处置。项目危废暂存间</w:t>
            </w:r>
            <w:r>
              <w:rPr>
                <w:rFonts w:hint="default" w:ascii="Times New Roman" w:hAnsi="Times New Roman" w:eastAsia="宋体" w:cs="Times New Roman"/>
                <w:bCs/>
                <w:color w:val="000000" w:themeColor="text1"/>
                <w:sz w:val="26"/>
                <w:szCs w:val="26"/>
                <w:lang w:val="en-GB"/>
                <w14:textFill>
                  <w14:solidFill>
                    <w14:schemeClr w14:val="tx1"/>
                  </w14:solidFill>
                </w14:textFill>
              </w:rPr>
              <w:t>均</w:t>
            </w:r>
            <w:r>
              <w:rPr>
                <w:rFonts w:hint="default" w:ascii="Times New Roman" w:hAnsi="Times New Roman" w:eastAsia="宋体" w:cs="Times New Roman"/>
                <w:bCs/>
                <w:color w:val="000000" w:themeColor="text1"/>
                <w:sz w:val="26"/>
                <w:szCs w:val="26"/>
                <w14:textFill>
                  <w14:solidFill>
                    <w14:schemeClr w14:val="tx1"/>
                  </w14:solidFill>
                </w14:textFill>
              </w:rPr>
              <w:t>已采取“四防”措施，且设置有标签、警示标志等，满足相关环保要求</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lang w:eastAsia="zh-CN"/>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eastAsia="zh-CN"/>
                <w14:textFill>
                  <w14:solidFill>
                    <w14:schemeClr w14:val="tx1"/>
                  </w14:solidFill>
                </w14:textFill>
              </w:rPr>
              <w:t>生活垃圾</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项目生活垃圾经收集后然后由环卫部门统一处理。</w:t>
            </w:r>
            <w:r>
              <w:rPr>
                <w:rFonts w:hint="default" w:ascii="Times New Roman" w:hAnsi="Times New Roman" w:eastAsia="宋体" w:cs="Times New Roman"/>
                <w:bCs/>
                <w:color w:val="000000" w:themeColor="text1"/>
                <w:sz w:val="26"/>
                <w:szCs w:val="26"/>
                <w14:textFill>
                  <w14:solidFill>
                    <w14:schemeClr w14:val="tx1"/>
                  </w14:solidFill>
                </w14:textFill>
              </w:rPr>
              <w:t>评价认为采取上述措施后，</w:t>
            </w:r>
            <w:r>
              <w:rPr>
                <w:rFonts w:hint="default" w:ascii="Times New Roman" w:hAnsi="Times New Roman" w:eastAsia="宋体" w:cs="Times New Roman"/>
                <w:bCs/>
                <w:color w:val="000000" w:themeColor="text1"/>
                <w:sz w:val="26"/>
                <w:szCs w:val="26"/>
                <w:lang w:eastAsia="zh-CN"/>
                <w14:textFill>
                  <w14:solidFill>
                    <w14:schemeClr w14:val="tx1"/>
                  </w14:solidFill>
                </w14:textFill>
              </w:rPr>
              <w:t>本项目</w:t>
            </w:r>
            <w:r>
              <w:rPr>
                <w:rFonts w:hint="default" w:ascii="Times New Roman" w:hAnsi="Times New Roman" w:eastAsia="宋体" w:cs="Times New Roman"/>
                <w:bCs/>
                <w:color w:val="000000" w:themeColor="text1"/>
                <w:sz w:val="26"/>
                <w:szCs w:val="26"/>
                <w14:textFill>
                  <w14:solidFill>
                    <w14:schemeClr w14:val="tx1"/>
                  </w14:solidFill>
                </w14:textFill>
              </w:rPr>
              <w:t>产生的固体废物外排放为零，对环境不会造成二次污染。</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4.1.2总量控制</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建设单位应按照《重庆市人民政府办公厅关于印发〈重庆市进一步推进排污权</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污水、废气、垃圾</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有偿使用和交易工作实施方案〉的通知》</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渝府办发</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2014</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178号</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和《重庆市环境保护局关于印发重庆市工业企业排污权有偿使用和交易工作实施细则</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试行</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的通知》</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渝环发</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2017</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249号</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的相关要求购买总量。</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eastAsia" w:ascii="Times New Roman" w:hAnsi="Times New Roman" w:eastAsia="宋体" w:cs="Times New Roman"/>
                <w:bCs/>
                <w:color w:val="000000" w:themeColor="text1"/>
                <w:sz w:val="26"/>
                <w:szCs w:val="26"/>
                <w:lang w:val="en-US" w:eastAsia="zh-CN"/>
                <w14:textFill>
                  <w14:solidFill>
                    <w14:schemeClr w14:val="tx1"/>
                  </w14:solidFill>
                </w14:textFill>
              </w:rPr>
            </w:pPr>
            <w:r>
              <w:rPr>
                <w:rFonts w:hint="default" w:ascii="Times New Roman" w:hAnsi="Times New Roman" w:eastAsia="宋体" w:cs="Times New Roman"/>
                <w:bCs/>
                <w:color w:val="000000" w:themeColor="text1"/>
                <w:sz w:val="26"/>
                <w:szCs w:val="26"/>
                <w:lang w:eastAsia="zh-CN"/>
                <w14:textFill>
                  <w14:solidFill>
                    <w14:schemeClr w14:val="tx1"/>
                  </w14:solidFill>
                </w14:textFill>
              </w:rPr>
              <w:t>本项目</w:t>
            </w:r>
            <w:r>
              <w:rPr>
                <w:rFonts w:hint="default" w:ascii="Times New Roman" w:hAnsi="Times New Roman" w:eastAsia="宋体" w:cs="Times New Roman"/>
                <w:bCs/>
                <w:color w:val="000000" w:themeColor="text1"/>
                <w:sz w:val="26"/>
                <w:szCs w:val="26"/>
                <w14:textFill>
                  <w14:solidFill>
                    <w14:schemeClr w14:val="tx1"/>
                  </w14:solidFill>
                </w14:textFill>
              </w:rPr>
              <w:t>总量指标</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为：</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eastAsia" w:ascii="Times New Roman" w:hAnsi="Times New Roman" w:eastAsia="宋体"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①废气：VOCs：0.092t/a。</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eastAsia" w:ascii="Times New Roman" w:hAnsi="Times New Roman" w:eastAsia="宋体"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②废水：项目排入市政管网的总量指标为COD：3.189t/a、NH</w:t>
            </w:r>
            <w:r>
              <w:rPr>
                <w:rFonts w:hint="eastAsia" w:ascii="Times New Roman" w:hAnsi="Times New Roman" w:eastAsia="宋体" w:cs="Times New Roman"/>
                <w:bCs/>
                <w:color w:val="000000" w:themeColor="text1"/>
                <w:sz w:val="26"/>
                <w:szCs w:val="26"/>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-N：0.544t/a、总镍：0.008t/a。项目排入外环境的总量指标为COD：0.782t/a、NH</w:t>
            </w:r>
            <w:r>
              <w:rPr>
                <w:rFonts w:hint="eastAsia" w:ascii="Times New Roman" w:hAnsi="Times New Roman" w:eastAsia="宋体" w:cs="Times New Roman"/>
                <w:bCs/>
                <w:color w:val="000000" w:themeColor="text1"/>
                <w:sz w:val="26"/>
                <w:szCs w:val="26"/>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-N：0.125t/a、总镍：0.001t/a。</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4.1.3综合结论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本项目建设符合国家、重庆市、</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高新</w:t>
            </w:r>
            <w:r>
              <w:rPr>
                <w:rFonts w:hint="default" w:ascii="Times New Roman" w:hAnsi="Times New Roman" w:eastAsia="宋体" w:cs="Times New Roman"/>
                <w:bCs/>
                <w:color w:val="000000" w:themeColor="text1"/>
                <w:sz w:val="26"/>
                <w:szCs w:val="26"/>
                <w14:textFill>
                  <w14:solidFill>
                    <w14:schemeClr w14:val="tx1"/>
                  </w14:solidFill>
                </w14:textFill>
              </w:rPr>
              <w:t>区现行产业政策，符合园区土地利用规划和入园条件，项目所在地环境质量现状良好，周边配套基础设施较为完善。项目采取本评价提出的污染防治和控制措施后，外排污染物可达标排放，环境影响在可接受范围内，环境功能区质量能够满足相应标准要求。在建设单位严格落实本报告表提出的污染治理措施及风险防范措施，确保污染物达标排放的前提下，本项目的建成对周围环境影响较小。从环境保护角度来看，本项目环境影响可行。</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4.2审批部门审批决定</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根据《重庆市建设项目环境影响评价文件批准书》（</w:t>
            </w:r>
            <w:r>
              <w:rPr>
                <w:rFonts w:hint="eastAsia" w:ascii="Times New Roman" w:hAnsi="Times New Roman" w:eastAsia="宋体" w:cs="Times New Roman"/>
                <w:bCs/>
                <w:color w:val="000000" w:themeColor="text1"/>
                <w:sz w:val="26"/>
                <w:szCs w:val="26"/>
                <w:lang w:eastAsia="zh-CN"/>
                <w14:textFill>
                  <w14:solidFill>
                    <w14:schemeClr w14:val="tx1"/>
                  </w14:solidFill>
                </w14:textFill>
              </w:rPr>
              <w:t>渝（高新）环准〔2021〕037号）</w:t>
            </w:r>
            <w:r>
              <w:rPr>
                <w:rFonts w:hint="default" w:ascii="Times New Roman" w:hAnsi="Times New Roman" w:eastAsia="宋体" w:cs="Times New Roman"/>
                <w:bCs/>
                <w:color w:val="000000" w:themeColor="text1"/>
                <w:sz w:val="26"/>
                <w:szCs w:val="26"/>
                <w14:textFill>
                  <w14:solidFill>
                    <w14:schemeClr w14:val="tx1"/>
                  </w14:solidFill>
                </w14:textFill>
              </w:rPr>
              <w:t>，其批复意见如下：</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你单位报送的X射线管生产扩建项目（项目代码：2103-500356-04-01-398230）环评文件及相关报批申请材料收悉，经审查，符合我市建设项目环境影响评价文件告知承诺审批的相关要求。根据重庆一可环保工程有限公司（统一社会信用代码：915001073049880460）编制的《X 射线管生产扩建项目环境影响报告表》对该项目开展环境影响评价的结论，在全面落实报</w:t>
            </w:r>
            <w:r>
              <w:rPr>
                <w:rFonts w:hint="default" w:ascii="Times New Roman" w:hAnsi="Times New Roman" w:eastAsia="宋体" w:cs="Times New Roman"/>
                <w:bCs/>
                <w:color w:val="000000" w:themeColor="text1"/>
                <w:sz w:val="26"/>
                <w:szCs w:val="26"/>
                <w14:textFill>
                  <w14:solidFill>
                    <w14:schemeClr w14:val="tx1"/>
                  </w14:solidFill>
                </w14:textFill>
              </w:rPr>
              <w:br w:type="textWrapping"/>
            </w:r>
            <w:r>
              <w:rPr>
                <w:rFonts w:hint="default" w:ascii="Times New Roman" w:hAnsi="Times New Roman" w:eastAsia="宋体" w:cs="Times New Roman"/>
                <w:bCs/>
                <w:color w:val="000000" w:themeColor="text1"/>
                <w:sz w:val="26"/>
                <w:szCs w:val="26"/>
                <w14:textFill>
                  <w14:solidFill>
                    <w14:schemeClr w14:val="tx1"/>
                  </w14:solidFill>
                </w14:textFill>
              </w:rPr>
              <w:t>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你单位应当严格落实该项目环境影响报告表提出的防治生态影响和环境污染措施及防范环境风险措施，严格执行配套建设的环保设施与主体工程同时设计、同时施工、同时投产的环保“三同时”制度。项目竣工后，应按照相关规定开展环境保护设施、水土保持措施自主验收。建设单位应编制竣工环境保护验收调查报告并将验收资料网上备案。经验收合格后，项目方可正式投入生产或使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项目的性质、规模、地点、生产工艺、防治污染措施等发生重大变动的，你单位应当重新报批该项目的环境影响评价文件。</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由重庆高新区生态环境局负责环境保护日常监督管理工作，由重庆高新区综合执法局负责企业违法行为的查处。项目若发现存在不符合告知承诺制或环评文件存在重大质量问题，我局将依法撤销审批决定，造成的一切法律后果和经济损失均由你单位承担。</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我局于2021年8月19日起对环境影响评价文件信息进行公开，公示期为10个工作日，公示期满后本批准书生效，方可开工建设。</w:t>
            </w:r>
          </w:p>
          <w:p>
            <w:pPr>
              <w:spacing w:after="0" w:line="460" w:lineRule="atLeast"/>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p>
          <w:p>
            <w:pPr>
              <w:widowControl w:val="0"/>
              <w:spacing w:before="48" w:beforeLines="20" w:after="0" w:line="460" w:lineRule="atLeast"/>
              <w:jc w:val="both"/>
              <w:rPr>
                <w:rFonts w:hint="default" w:ascii="Times New Roman" w:hAnsi="Times New Roman" w:eastAsia="宋体" w:cs="Times New Roman"/>
                <w:color w:val="000000" w:themeColor="text1"/>
                <w:sz w:val="24"/>
                <w:szCs w:val="24"/>
                <w14:textFill>
                  <w14:solidFill>
                    <w14:schemeClr w14:val="tx1"/>
                  </w14:solidFill>
                </w14:textFill>
              </w:rPr>
            </w:pPr>
          </w:p>
        </w:tc>
      </w:tr>
    </w:tbl>
    <w:p>
      <w:pPr>
        <w:spacing w:line="460" w:lineRule="atLeast"/>
        <w:rPr>
          <w:rFonts w:hint="default"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708" w:footer="708" w:gutter="0"/>
          <w:cols w:space="720" w:num="1"/>
          <w:docGrid w:linePitch="360" w:charSpace="0"/>
        </w:sectPr>
      </w:pPr>
    </w:p>
    <w:p>
      <w:pPr>
        <w:pStyle w:val="37"/>
        <w:ind w:right="-2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24" w:type="dxa"/>
          </w:tcPr>
          <w:p>
            <w:pPr>
              <w:keepNext w:val="0"/>
              <w:keepLines w:val="0"/>
              <w:pageBreakBefore w:val="0"/>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验收监测质量保证及质量控制：</w:t>
            </w:r>
          </w:p>
          <w:p>
            <w:pPr>
              <w:keepNext w:val="0"/>
              <w:keepLines w:val="0"/>
              <w:pageBreakBefore w:val="0"/>
              <w:kinsoku/>
              <w:wordWrap/>
              <w:overflowPunct/>
              <w:topLinePunct w:val="0"/>
              <w:autoSpaceDE/>
              <w:autoSpaceDN/>
              <w:bidi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9" w:name="_Toc512518747"/>
            <w:r>
              <w:rPr>
                <w:rFonts w:hint="default" w:ascii="Times New Roman" w:hAnsi="Times New Roman" w:eastAsia="宋体" w:cs="Times New Roman"/>
                <w:b/>
                <w:color w:val="000000" w:themeColor="text1"/>
                <w:sz w:val="26"/>
                <w:szCs w:val="26"/>
                <w14:textFill>
                  <w14:solidFill>
                    <w14:schemeClr w14:val="tx1"/>
                  </w14:solidFill>
                </w14:textFill>
              </w:rPr>
              <w:t>5.1监测分析方法</w:t>
            </w:r>
            <w:bookmarkEnd w:id="9"/>
          </w:p>
          <w:p>
            <w:pPr>
              <w:pStyle w:val="22"/>
              <w:keepNext w:val="0"/>
              <w:keepLines w:val="0"/>
              <w:pageBreakBefore w:val="0"/>
              <w:kinsoku/>
              <w:wordWrap/>
              <w:overflowPunct/>
              <w:topLinePunct w:val="0"/>
              <w:autoSpaceDE/>
              <w:autoSpaceDN/>
              <w:bidi w:val="0"/>
              <w:spacing w:before="48" w:beforeLines="20" w:line="460" w:lineRule="exact"/>
              <w:ind w:left="360" w:firstLine="0" w:firstLineChars="0"/>
              <w:textAlignment w:val="auto"/>
              <w:rPr>
                <w:rFonts w:hint="default" w:ascii="Times New Roman" w:hAnsi="Times New Roman" w:eastAsia="宋体" w:cs="Times New Roman"/>
                <w:bCs/>
                <w:color w:val="000000" w:themeColor="text1"/>
                <w:kern w:val="0"/>
                <w:sz w:val="26"/>
                <w:szCs w:val="26"/>
                <w14:textFill>
                  <w14:solidFill>
                    <w14:schemeClr w14:val="tx1"/>
                  </w14:solidFill>
                </w14:textFill>
              </w:rPr>
            </w:pPr>
            <w:r>
              <w:rPr>
                <w:rFonts w:hint="default" w:ascii="Times New Roman" w:hAnsi="Times New Roman" w:eastAsia="宋体" w:cs="Times New Roman"/>
                <w:bCs/>
                <w:color w:val="000000" w:themeColor="text1"/>
                <w:kern w:val="0"/>
                <w:sz w:val="26"/>
                <w:szCs w:val="26"/>
                <w14:textFill>
                  <w14:solidFill>
                    <w14:schemeClr w14:val="tx1"/>
                  </w14:solidFill>
                </w14:textFill>
              </w:rPr>
              <w:t>项目监测分析方法见表5.1-1。</w:t>
            </w:r>
          </w:p>
          <w:p>
            <w:pPr>
              <w:pStyle w:val="22"/>
              <w:keepNext w:val="0"/>
              <w:keepLines w:val="0"/>
              <w:pageBreakBefore w:val="0"/>
              <w:kinsoku/>
              <w:wordWrap/>
              <w:overflowPunct/>
              <w:topLinePunct w:val="0"/>
              <w:autoSpaceDE/>
              <w:autoSpaceDN/>
              <w:bidi w:val="0"/>
              <w:spacing w:before="48" w:beforeLines="20" w:line="460" w:lineRule="exact"/>
              <w:ind w:left="360" w:firstLine="0" w:firstLineChars="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表5.1-1   项目监测分析方法一览表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4235"/>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检测项目</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检测方法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pH值</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水质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pH</w:t>
                  </w:r>
                  <w:r>
                    <w:rPr>
                      <w:rFonts w:hint="default" w:ascii="Times New Roman" w:hAnsi="Times New Roman" w:eastAsia="宋体" w:cs="Times New Roman"/>
                      <w:color w:val="auto"/>
                      <w:sz w:val="22"/>
                      <w:szCs w:val="22"/>
                      <w:lang w:eastAsia="zh-CN"/>
                    </w:rPr>
                    <w:t>值的测定</w:t>
                  </w:r>
                  <w:r>
                    <w:rPr>
                      <w:rFonts w:hint="default" w:ascii="Times New Roman" w:hAnsi="Times New Roman" w:eastAsia="宋体" w:cs="Times New Roman"/>
                      <w:color w:val="auto"/>
                      <w:sz w:val="22"/>
                      <w:szCs w:val="22"/>
                      <w:lang w:val="en-US" w:eastAsia="zh-CN"/>
                    </w:rPr>
                    <w:t xml:space="preserve"> 电极</w:t>
                  </w:r>
                  <w:r>
                    <w:rPr>
                      <w:rFonts w:hint="default" w:ascii="Times New Roman" w:hAnsi="Times New Roman" w:eastAsia="宋体" w:cs="Times New Roman"/>
                      <w:color w:val="auto"/>
                      <w:sz w:val="22"/>
                      <w:szCs w:val="22"/>
                    </w:rPr>
                    <w:t>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rPr>
                    <w:t>化学需氧量</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水质 化学需氧量的测定 重铬酸盐法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五日生化</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需氧量</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水质 五日生化需氧量（BOD</w:t>
                  </w:r>
                  <w:r>
                    <w:rPr>
                      <w:rFonts w:hint="default" w:ascii="Times New Roman" w:hAnsi="Times New Roman" w:eastAsia="宋体" w:cs="Times New Roman"/>
                      <w:color w:val="auto"/>
                      <w:sz w:val="22"/>
                      <w:szCs w:val="22"/>
                      <w:vertAlign w:val="subscript"/>
                    </w:rPr>
                    <w:t>5</w:t>
                  </w:r>
                  <w:r>
                    <w:rPr>
                      <w:rFonts w:hint="default" w:ascii="Times New Roman" w:hAnsi="Times New Roman" w:eastAsia="宋体" w:cs="Times New Roman"/>
                      <w:color w:val="auto"/>
                      <w:sz w:val="22"/>
                      <w:szCs w:val="22"/>
                    </w:rPr>
                    <w:t xml:space="preserve">）的测定 </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稀释与接种法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悬浮物</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水质 悬浮物的测定 重量法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氨氮</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rPr>
                    <w:t>水质 氨氮的测定 蒸馏-中和滴定法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rPr>
                    <w:t>HJ 537-2009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总铜</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水质 </w:t>
                  </w:r>
                  <w:r>
                    <w:rPr>
                      <w:rFonts w:hint="default" w:ascii="Times New Roman" w:hAnsi="Times New Roman" w:eastAsia="宋体" w:cs="Times New Roman"/>
                      <w:color w:val="auto"/>
                      <w:sz w:val="22"/>
                      <w:szCs w:val="22"/>
                      <w:lang w:eastAsia="zh-CN"/>
                    </w:rPr>
                    <w:t>铜、锌、铅、镉</w:t>
                  </w:r>
                  <w:r>
                    <w:rPr>
                      <w:rFonts w:hint="default" w:ascii="Times New Roman" w:hAnsi="Times New Roman" w:eastAsia="宋体" w:cs="Times New Roman"/>
                      <w:color w:val="auto"/>
                      <w:sz w:val="22"/>
                      <w:szCs w:val="22"/>
                    </w:rPr>
                    <w:t xml:space="preserve">的测定 </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原子吸收分光光度法</w:t>
                  </w:r>
                  <w:r>
                    <w:rPr>
                      <w:rFonts w:hint="default" w:ascii="Times New Roman" w:hAnsi="Times New Roman" w:eastAsia="宋体" w:cs="Times New Roman"/>
                      <w:color w:val="auto"/>
                      <w:sz w:val="22"/>
                      <w:szCs w:val="22"/>
                    </w:rPr>
                    <w:t xml:space="preserve"> </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GB/T 74</w:t>
                  </w:r>
                  <w:r>
                    <w:rPr>
                      <w:rFonts w:hint="default" w:ascii="Times New Roman" w:hAnsi="Times New Roman" w:eastAsia="宋体" w:cs="Times New Roman"/>
                      <w:color w:val="auto"/>
                      <w:sz w:val="22"/>
                      <w:szCs w:val="22"/>
                      <w:lang w:val="en-US" w:eastAsia="zh-CN"/>
                    </w:rPr>
                    <w:t>75</w:t>
                  </w:r>
                  <w:r>
                    <w:rPr>
                      <w:rFonts w:hint="default" w:ascii="Times New Roman" w:hAnsi="Times New Roman" w:eastAsia="宋体" w:cs="Times New Roman"/>
                      <w:color w:val="auto"/>
                      <w:sz w:val="22"/>
                      <w:szCs w:val="22"/>
                    </w:rPr>
                    <w:t>-1987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总镍</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水质 镍的测定 火焰原子吸收分光光度法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GB/T 1191</w:t>
                  </w:r>
                  <w:r>
                    <w:rPr>
                      <w:rFonts w:hint="default" w:ascii="Times New Roman" w:hAnsi="Times New Roman" w:eastAsia="宋体" w:cs="Times New Roman"/>
                      <w:color w:val="auto"/>
                      <w:sz w:val="22"/>
                      <w:szCs w:val="22"/>
                      <w:lang w:val="en-US" w:eastAsia="zh-CN"/>
                    </w:rPr>
                    <w:t>2</w:t>
                  </w:r>
                  <w:r>
                    <w:rPr>
                      <w:rFonts w:hint="default" w:ascii="Times New Roman" w:hAnsi="Times New Roman" w:eastAsia="宋体" w:cs="Times New Roman"/>
                      <w:color w:val="auto"/>
                      <w:sz w:val="22"/>
                      <w:szCs w:val="22"/>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sz w:val="22"/>
                      <w:szCs w:val="22"/>
                      <w:lang w:eastAsia="zh-CN"/>
                    </w:rPr>
                    <w:t>石油类</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 xml:space="preserve">水质 石油类和动植物油类的测定 </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红外分光光度法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阴离子表面</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活性剂</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水质 阴离子表面活性剂的测定</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亚甲蓝分光光度法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GB/T 7494-1987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氟化物</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lang w:val="en-US"/>
                    </w:rPr>
                  </w:pPr>
                  <w:r>
                    <w:rPr>
                      <w:rFonts w:hint="default" w:ascii="Times New Roman" w:hAnsi="Times New Roman" w:eastAsia="宋体" w:cs="Times New Roman"/>
                      <w:color w:val="000000"/>
                      <w:sz w:val="22"/>
                      <w:szCs w:val="22"/>
                      <w:lang w:val="en-US" w:eastAsia="zh-CN"/>
                    </w:rPr>
                    <w:t>水质 氟化物的测定 离子选择电极法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lang w:val="en-US" w:eastAsia="zh-CN"/>
                    </w:rPr>
                    <w:t>GB/T 7484-1987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氯化氢</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环境空气和废气 氯化氢的测定</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离子色谱法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HJ 549-2016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硫酸雾</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固定污染源废气 硫酸雾的测定 离子色谱法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HJ 544-2016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i w:val="0"/>
                      <w:color w:val="auto"/>
                      <w:kern w:val="2"/>
                      <w:sz w:val="22"/>
                      <w:szCs w:val="22"/>
                      <w:u w:val="none"/>
                      <w:lang w:val="en-US" w:eastAsia="zh-CN" w:bidi="ar-SA"/>
                    </w:rPr>
                  </w:pPr>
                  <w:r>
                    <w:rPr>
                      <w:rStyle w:val="54"/>
                      <w:rFonts w:hint="default" w:ascii="Times New Roman" w:hAnsi="Times New Roman" w:eastAsia="宋体" w:cs="Times New Roman"/>
                      <w:b w:val="0"/>
                      <w:bCs/>
                      <w:color w:val="auto"/>
                      <w:sz w:val="22"/>
                      <w:szCs w:val="22"/>
                      <w:lang w:val="en-US" w:eastAsia="zh-CN" w:bidi="ar"/>
                    </w:rPr>
                    <w:t>氟化物</w:t>
                  </w:r>
                </w:p>
              </w:tc>
              <w:tc>
                <w:tcPr>
                  <w:tcW w:w="25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i w:val="0"/>
                      <w:color w:val="auto"/>
                      <w:kern w:val="2"/>
                      <w:sz w:val="22"/>
                      <w:szCs w:val="22"/>
                      <w:u w:val="none"/>
                      <w:lang w:val="en-US" w:eastAsia="zh-CN" w:bidi="ar-SA"/>
                    </w:rPr>
                  </w:pPr>
                  <w:r>
                    <w:rPr>
                      <w:rStyle w:val="54"/>
                      <w:rFonts w:hint="default" w:ascii="Times New Roman" w:hAnsi="Times New Roman" w:eastAsia="宋体" w:cs="Times New Roman"/>
                      <w:b w:val="0"/>
                      <w:bCs/>
                      <w:color w:val="auto"/>
                      <w:sz w:val="22"/>
                      <w:szCs w:val="22"/>
                      <w:lang w:val="en-US" w:eastAsia="zh-CN" w:bidi="ar"/>
                    </w:rPr>
                    <w:t>大气固定污染源</w:t>
                  </w:r>
                  <w:r>
                    <w:rPr>
                      <w:rStyle w:val="50"/>
                      <w:rFonts w:hint="default" w:ascii="Times New Roman" w:hAnsi="Times New Roman" w:eastAsia="宋体" w:cs="Times New Roman"/>
                      <w:b w:val="0"/>
                      <w:bCs/>
                      <w:color w:val="auto"/>
                      <w:sz w:val="22"/>
                      <w:szCs w:val="22"/>
                      <w:lang w:val="en-US" w:eastAsia="zh-CN" w:bidi="ar"/>
                    </w:rPr>
                    <w:t xml:space="preserve">  </w:t>
                  </w:r>
                  <w:r>
                    <w:rPr>
                      <w:rStyle w:val="54"/>
                      <w:rFonts w:hint="default" w:ascii="Times New Roman" w:hAnsi="Times New Roman" w:eastAsia="宋体" w:cs="Times New Roman"/>
                      <w:b w:val="0"/>
                      <w:bCs/>
                      <w:color w:val="auto"/>
                      <w:sz w:val="22"/>
                      <w:szCs w:val="22"/>
                      <w:lang w:val="en-US" w:eastAsia="zh-CN" w:bidi="ar"/>
                    </w:rPr>
                    <w:t>氟化物的测定</w:t>
                  </w:r>
                  <w:r>
                    <w:rPr>
                      <w:rStyle w:val="50"/>
                      <w:rFonts w:hint="default" w:ascii="Times New Roman" w:hAnsi="Times New Roman" w:eastAsia="宋体" w:cs="Times New Roman"/>
                      <w:b w:val="0"/>
                      <w:bCs/>
                      <w:color w:val="auto"/>
                      <w:sz w:val="22"/>
                      <w:szCs w:val="22"/>
                      <w:lang w:val="en-US" w:eastAsia="zh-CN" w:bidi="ar"/>
                    </w:rPr>
                    <w:t xml:space="preserve">  </w:t>
                  </w:r>
                  <w:r>
                    <w:rPr>
                      <w:rStyle w:val="54"/>
                      <w:rFonts w:hint="default" w:ascii="Times New Roman" w:hAnsi="Times New Roman" w:eastAsia="宋体" w:cs="Times New Roman"/>
                      <w:b w:val="0"/>
                      <w:bCs/>
                      <w:color w:val="auto"/>
                      <w:sz w:val="22"/>
                      <w:szCs w:val="22"/>
                      <w:lang w:val="en-US" w:eastAsia="zh-CN" w:bidi="ar"/>
                    </w:rPr>
                    <w:t>离子选择电极法</w:t>
                  </w:r>
                  <w:r>
                    <w:rPr>
                      <w:rStyle w:val="50"/>
                      <w:rFonts w:hint="default" w:ascii="Times New Roman" w:hAnsi="Times New Roman" w:eastAsia="宋体" w:cs="Times New Roman"/>
                      <w:b w:val="0"/>
                      <w:bCs/>
                      <w:color w:val="auto"/>
                      <w:sz w:val="22"/>
                      <w:szCs w:val="22"/>
                      <w:lang w:val="en-US" w:eastAsia="zh-CN" w:bidi="ar"/>
                    </w:rPr>
                    <w:t xml:space="preserve"> </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i w:val="0"/>
                      <w:color w:val="auto"/>
                      <w:kern w:val="2"/>
                      <w:sz w:val="22"/>
                      <w:szCs w:val="22"/>
                      <w:u w:val="none"/>
                      <w:lang w:val="en-US" w:eastAsia="zh-CN" w:bidi="ar-SA"/>
                    </w:rPr>
                  </w:pPr>
                  <w:r>
                    <w:rPr>
                      <w:rStyle w:val="50"/>
                      <w:rFonts w:hint="default" w:ascii="Times New Roman" w:hAnsi="Times New Roman" w:eastAsia="宋体" w:cs="Times New Roman"/>
                      <w:b w:val="0"/>
                      <w:bCs/>
                      <w:color w:val="auto"/>
                      <w:sz w:val="22"/>
                      <w:szCs w:val="22"/>
                      <w:lang w:val="en-US" w:eastAsia="zh-CN" w:bidi="ar"/>
                    </w:rPr>
                    <w:t>HJ/T 67-2001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p>
              </w:tc>
              <w:tc>
                <w:tcPr>
                  <w:tcW w:w="25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54"/>
                      <w:rFonts w:hint="default" w:ascii="Times New Roman" w:hAnsi="Times New Roman" w:eastAsia="宋体" w:cs="Times New Roman"/>
                      <w:b w:val="0"/>
                      <w:bCs/>
                      <w:color w:val="auto"/>
                      <w:sz w:val="22"/>
                      <w:szCs w:val="22"/>
                      <w:lang w:val="en-US" w:eastAsia="zh-CN" w:bidi="ar"/>
                    </w:rPr>
                  </w:pPr>
                  <w:r>
                    <w:rPr>
                      <w:rStyle w:val="54"/>
                      <w:rFonts w:hint="default" w:ascii="Times New Roman" w:hAnsi="Times New Roman" w:eastAsia="宋体" w:cs="Times New Roman"/>
                      <w:b w:val="0"/>
                      <w:bCs/>
                      <w:color w:val="auto"/>
                      <w:sz w:val="22"/>
                      <w:szCs w:val="22"/>
                      <w:lang w:val="en-US" w:eastAsia="zh-CN" w:bidi="ar"/>
                    </w:rPr>
                    <w:t>环境空气 氟化物的测定 滤膜采样/氟离子选择电极法</w:t>
                  </w:r>
                </w:p>
              </w:tc>
              <w:tc>
                <w:tcPr>
                  <w:tcW w:w="165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54"/>
                      <w:rFonts w:hint="default" w:ascii="Times New Roman" w:hAnsi="Times New Roman" w:eastAsia="宋体" w:cs="Times New Roman"/>
                      <w:b w:val="0"/>
                      <w:bCs/>
                      <w:color w:val="auto"/>
                      <w:sz w:val="22"/>
                      <w:szCs w:val="22"/>
                      <w:lang w:val="en-US" w:eastAsia="zh-CN" w:bidi="ar"/>
                    </w:rPr>
                  </w:pPr>
                  <w:r>
                    <w:rPr>
                      <w:rStyle w:val="54"/>
                      <w:rFonts w:hint="default" w:ascii="Times New Roman" w:hAnsi="Times New Roman" w:eastAsia="宋体" w:cs="Times New Roman"/>
                      <w:b w:val="0"/>
                      <w:bCs/>
                      <w:color w:val="auto"/>
                      <w:sz w:val="22"/>
                      <w:szCs w:val="22"/>
                      <w:lang w:val="en-US" w:eastAsia="zh-CN" w:bidi="ar"/>
                    </w:rPr>
                    <w:t>HJ 955-2018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氮氧化物</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rPr>
                    <w:t>固定污染源废气 氮氧化物的测定 定电位电解法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rPr>
                    <w:t>HJ 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1"/>
                      <w:sz w:val="22"/>
                      <w:szCs w:val="22"/>
                      <w:lang w:val="en-US" w:eastAsia="zh-CN" w:bidi="ar-SA"/>
                    </w:rPr>
                  </w:pPr>
                  <w:r>
                    <w:rPr>
                      <w:rFonts w:hint="default" w:ascii="Times New Roman" w:hAnsi="Times New Roman" w:eastAsia="宋体" w:cs="Times New Roman"/>
                      <w:color w:val="auto"/>
                      <w:kern w:val="1"/>
                      <w:sz w:val="22"/>
                      <w:szCs w:val="22"/>
                    </w:rPr>
                    <w:t>环境空气 氮氧化物（一氧化氮和二氧化氮）的测定 盐酸萘乙二胺分光光度法</w:t>
                  </w:r>
                  <w:r>
                    <w:rPr>
                      <w:rFonts w:hint="default" w:ascii="Times New Roman" w:hAnsi="Times New Roman" w:eastAsia="宋体" w:cs="Times New Roman"/>
                      <w:color w:val="auto"/>
                      <w:kern w:val="1"/>
                      <w:sz w:val="22"/>
                      <w:szCs w:val="22"/>
                      <w:lang w:eastAsia="zh-CN"/>
                    </w:rPr>
                    <w:t>及修改单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1"/>
                      <w:sz w:val="22"/>
                      <w:szCs w:val="22"/>
                      <w:lang w:val="nl-BE" w:eastAsia="zh-CN" w:bidi="ar-SA"/>
                    </w:rPr>
                  </w:pPr>
                  <w:r>
                    <w:rPr>
                      <w:rFonts w:hint="default" w:ascii="Times New Roman" w:hAnsi="Times New Roman" w:eastAsia="宋体" w:cs="Times New Roman"/>
                      <w:color w:val="auto"/>
                      <w:kern w:val="1"/>
                      <w:sz w:val="22"/>
                      <w:szCs w:val="22"/>
                    </w:rPr>
                    <w:t>HJ 479-2009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eastAsia="zh-CN"/>
                    </w:rPr>
                    <w:t>总悬浮颗粒物</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环境空气 总悬浮颗粒物的测定 重量法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lang w:val="en-US" w:eastAsia="zh-CN"/>
                    </w:rPr>
                    <w:t>HJ 1263-2022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i w:val="0"/>
                      <w:color w:val="auto"/>
                      <w:kern w:val="2"/>
                      <w:sz w:val="22"/>
                      <w:szCs w:val="22"/>
                      <w:u w:val="none"/>
                      <w:lang w:val="en-US" w:eastAsia="zh-CN" w:bidi="ar-SA"/>
                    </w:rPr>
                  </w:pPr>
                  <w:r>
                    <w:rPr>
                      <w:rFonts w:hint="default" w:ascii="Times New Roman" w:hAnsi="Times New Roman" w:eastAsia="宋体" w:cs="Times New Roman"/>
                      <w:b w:val="0"/>
                      <w:bCs/>
                      <w:i w:val="0"/>
                      <w:color w:val="auto"/>
                      <w:kern w:val="0"/>
                      <w:sz w:val="22"/>
                      <w:szCs w:val="22"/>
                      <w:u w:val="none"/>
                      <w:lang w:val="en-US" w:eastAsia="zh-CN" w:bidi="ar"/>
                    </w:rPr>
                    <w:t>二氧化硫</w:t>
                  </w:r>
                </w:p>
              </w:tc>
              <w:tc>
                <w:tcPr>
                  <w:tcW w:w="25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i w:val="0"/>
                      <w:color w:val="auto"/>
                      <w:kern w:val="2"/>
                      <w:sz w:val="22"/>
                      <w:szCs w:val="22"/>
                      <w:u w:val="none"/>
                      <w:lang w:val="en-US" w:eastAsia="zh-CN" w:bidi="ar-SA"/>
                    </w:rPr>
                  </w:pPr>
                  <w:r>
                    <w:rPr>
                      <w:rFonts w:hint="default" w:ascii="Times New Roman" w:hAnsi="Times New Roman" w:eastAsia="宋体" w:cs="Times New Roman"/>
                      <w:b w:val="0"/>
                      <w:bCs/>
                      <w:i w:val="0"/>
                      <w:color w:val="auto"/>
                      <w:kern w:val="0"/>
                      <w:sz w:val="22"/>
                      <w:szCs w:val="22"/>
                      <w:u w:val="none"/>
                      <w:lang w:val="en-US" w:eastAsia="zh-CN" w:bidi="ar"/>
                    </w:rPr>
                    <w:t>环境空气 二氧化硫的测定 甲醛吸收-副玫瑰苯胺分光光度法</w:t>
                  </w:r>
                  <w:r>
                    <w:rPr>
                      <w:rFonts w:hint="default" w:ascii="Times New Roman" w:hAnsi="Times New Roman" w:eastAsia="宋体" w:cs="Times New Roman"/>
                      <w:color w:val="auto"/>
                      <w:kern w:val="1"/>
                      <w:sz w:val="22"/>
                      <w:szCs w:val="22"/>
                      <w:lang w:eastAsia="zh-CN"/>
                    </w:rPr>
                    <w:t>及修改单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i w:val="0"/>
                      <w:color w:val="auto"/>
                      <w:kern w:val="2"/>
                      <w:sz w:val="22"/>
                      <w:szCs w:val="22"/>
                      <w:u w:val="none"/>
                      <w:lang w:val="en-US" w:eastAsia="zh-CN" w:bidi="ar-SA"/>
                    </w:rPr>
                  </w:pPr>
                  <w:r>
                    <w:rPr>
                      <w:rFonts w:hint="default" w:ascii="Times New Roman" w:hAnsi="Times New Roman" w:eastAsia="宋体" w:cs="Times New Roman"/>
                      <w:b w:val="0"/>
                      <w:bCs/>
                      <w:i w:val="0"/>
                      <w:color w:val="auto"/>
                      <w:kern w:val="0"/>
                      <w:sz w:val="22"/>
                      <w:szCs w:val="22"/>
                      <w:u w:val="none"/>
                      <w:lang w:val="en-US" w:eastAsia="zh-CN" w:bidi="ar"/>
                    </w:rPr>
                    <w:t>HJ 482-2009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非甲烷总烃</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固定污染源废气 总烃、甲烷和非甲烷总烃的测定 气相色谱法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eastAsia="zh-CN"/>
                    </w:rPr>
                    <w:t>环境空气</w:t>
                  </w:r>
                  <w:r>
                    <w:rPr>
                      <w:rFonts w:hint="default" w:ascii="Times New Roman" w:hAnsi="Times New Roman" w:eastAsia="宋体" w:cs="Times New Roman"/>
                      <w:color w:val="auto"/>
                      <w:sz w:val="22"/>
                      <w:szCs w:val="22"/>
                      <w:highlight w:val="none"/>
                      <w:lang w:val="en-US" w:eastAsia="zh-CN"/>
                    </w:rPr>
                    <w:t xml:space="preserve"> 总烃 甲烷和非甲烷总烃的测定 直接进样-气相色谱法</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厂界噪声</w:t>
                  </w:r>
                </w:p>
              </w:tc>
              <w:tc>
                <w:tcPr>
                  <w:tcW w:w="25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工业企业厂界环境噪声排放标准</w:t>
                  </w:r>
                </w:p>
              </w:tc>
              <w:tc>
                <w:tcPr>
                  <w:tcW w:w="165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GB 12348-2008</w:t>
                  </w:r>
                </w:p>
              </w:tc>
            </w:tr>
          </w:tbl>
          <w:p>
            <w:pPr>
              <w:keepNext w:val="0"/>
              <w:keepLines w:val="0"/>
              <w:pageBreakBefore w:val="0"/>
              <w:kinsoku/>
              <w:wordWrap/>
              <w:overflowPunct/>
              <w:topLinePunct w:val="0"/>
              <w:autoSpaceDE/>
              <w:autoSpaceDN/>
              <w:bidi w:val="0"/>
              <w:spacing w:after="0" w:line="460" w:lineRule="exact"/>
              <w:ind w:left="0"/>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10" w:name="_Toc512518748"/>
            <w:r>
              <w:rPr>
                <w:rFonts w:hint="default" w:ascii="Times New Roman" w:hAnsi="Times New Roman" w:eastAsia="宋体" w:cs="Times New Roman"/>
                <w:b/>
                <w:color w:val="000000" w:themeColor="text1"/>
                <w:sz w:val="26"/>
                <w:szCs w:val="26"/>
                <w14:textFill>
                  <w14:solidFill>
                    <w14:schemeClr w14:val="tx1"/>
                  </w14:solidFill>
                </w14:textFill>
              </w:rPr>
              <w:t>5.2监测仪器</w:t>
            </w:r>
            <w:bookmarkEnd w:id="10"/>
          </w:p>
          <w:p>
            <w:pPr>
              <w:pStyle w:val="22"/>
              <w:keepNext w:val="0"/>
              <w:keepLines w:val="0"/>
              <w:pageBreakBefore w:val="0"/>
              <w:kinsoku/>
              <w:wordWrap/>
              <w:overflowPunct/>
              <w:topLinePunct w:val="0"/>
              <w:autoSpaceDE/>
              <w:autoSpaceDN/>
              <w:bidi w:val="0"/>
              <w:spacing w:line="460" w:lineRule="exact"/>
              <w:ind w:left="0"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项目监测仪器见表5.2-1。</w:t>
            </w:r>
          </w:p>
          <w:p>
            <w:pPr>
              <w:pStyle w:val="22"/>
              <w:keepNext w:val="0"/>
              <w:keepLines w:val="0"/>
              <w:pageBreakBefore w:val="0"/>
              <w:kinsoku/>
              <w:wordWrap/>
              <w:overflowPunct/>
              <w:topLinePunct w:val="0"/>
              <w:autoSpaceDE/>
              <w:autoSpaceDN/>
              <w:bidi w:val="0"/>
              <w:spacing w:line="460" w:lineRule="exact"/>
              <w:ind w:left="0" w:firstLine="0" w:firstLineChars="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表5.2-1   项目监测仪器一览表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3738"/>
              <w:gridCol w:w="1301"/>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b/>
                      <w:sz w:val="22"/>
                      <w:szCs w:val="22"/>
                    </w:rPr>
                    <w:t>检测项目</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b/>
                      <w:sz w:val="22"/>
                      <w:szCs w:val="22"/>
                    </w:rPr>
                    <w:t>仪器名称及型号</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b/>
                      <w:sz w:val="22"/>
                      <w:szCs w:val="22"/>
                    </w:rPr>
                    <w:t>仪器编号</w:t>
                  </w:r>
                </w:p>
              </w:tc>
              <w:tc>
                <w:tcPr>
                  <w:tcW w:w="79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pH值</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eastAsia="zh-CN"/>
                    </w:rPr>
                    <w:t>便携式</w:t>
                  </w:r>
                  <w:r>
                    <w:rPr>
                      <w:rFonts w:hint="default" w:ascii="Times New Roman" w:hAnsi="Times New Roman" w:eastAsia="宋体" w:cs="Times New Roman"/>
                      <w:color w:val="auto"/>
                      <w:sz w:val="22"/>
                      <w:szCs w:val="22"/>
                    </w:rPr>
                    <w:t>pH</w:t>
                  </w:r>
                  <w:r>
                    <w:rPr>
                      <w:rFonts w:hint="default" w:ascii="Times New Roman" w:hAnsi="Times New Roman" w:eastAsia="宋体" w:cs="Times New Roman"/>
                      <w:color w:val="auto"/>
                      <w:sz w:val="22"/>
                      <w:szCs w:val="22"/>
                      <w:lang w:eastAsia="zh-CN"/>
                    </w:rPr>
                    <w:t>计</w:t>
                  </w:r>
                  <w:r>
                    <w:rPr>
                      <w:rFonts w:hint="default" w:ascii="Times New Roman" w:hAnsi="Times New Roman" w:eastAsia="宋体" w:cs="Times New Roman"/>
                      <w:color w:val="auto"/>
                      <w:sz w:val="22"/>
                      <w:szCs w:val="22"/>
                      <w:lang w:val="en-US" w:eastAsia="zh-CN"/>
                    </w:rPr>
                    <w:t xml:space="preserve"> ST300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C01-11</w:t>
                  </w:r>
                </w:p>
              </w:tc>
              <w:tc>
                <w:tcPr>
                  <w:tcW w:w="79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仪器在计量检定</w:t>
                  </w:r>
                  <w:r>
                    <w:rPr>
                      <w:rFonts w:hint="default" w:ascii="Times New Roman" w:hAnsi="Times New Roman" w:eastAsia="宋体" w:cs="Times New Roman"/>
                      <w:sz w:val="22"/>
                      <w:szCs w:val="22"/>
                      <w:lang w:val="en-US" w:eastAsia="zh-CN"/>
                    </w:rPr>
                    <w:t>/校准</w:t>
                  </w:r>
                  <w:r>
                    <w:rPr>
                      <w:rFonts w:hint="default" w:ascii="Times New Roman" w:hAnsi="Times New Roman" w:eastAsia="宋体" w:cs="Times New Roman"/>
                      <w:sz w:val="22"/>
                      <w:szCs w:val="22"/>
                    </w:rPr>
                    <w:t>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化学需氧量</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具塞滴定管50.00mL</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D04-50-01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五日生化</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需氧量</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生化培养箱</w:t>
                  </w:r>
                  <w:r>
                    <w:rPr>
                      <w:rFonts w:hint="default" w:ascii="Times New Roman" w:hAnsi="Times New Roman" w:eastAsia="宋体" w:cs="Times New Roman"/>
                      <w:color w:val="auto"/>
                      <w:sz w:val="22"/>
                      <w:szCs w:val="22"/>
                      <w:lang w:val="en-US" w:eastAsia="zh-CN"/>
                    </w:rPr>
                    <w:t>BPC-150F</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B06-03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溶解氧仪JPSJ-605F</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A15-01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氨氮</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具塞滴定管50.00mL</w:t>
                  </w:r>
                  <w:r>
                    <w:rPr>
                      <w:rFonts w:hint="default" w:ascii="Times New Roman" w:hAnsi="Times New Roman" w:eastAsia="宋体" w:cs="Times New Roman"/>
                      <w:color w:val="auto"/>
                      <w:sz w:val="22"/>
                      <w:szCs w:val="22"/>
                      <w:lang w:val="en-US" w:eastAsia="zh-CN"/>
                    </w:rPr>
                    <w:t xml:space="preserve"> </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D04-50-02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总铜</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nl-BE" w:eastAsia="zh-CN"/>
                    </w:rPr>
                    <w:t>原子吸收分光光度计</w:t>
                  </w:r>
                  <w:r>
                    <w:rPr>
                      <w:rFonts w:hint="default" w:ascii="Times New Roman" w:hAnsi="Times New Roman" w:eastAsia="宋体" w:cs="Times New Roman"/>
                      <w:color w:val="auto"/>
                      <w:sz w:val="22"/>
                      <w:szCs w:val="22"/>
                      <w:lang w:val="en-US" w:eastAsia="zh-CN"/>
                    </w:rPr>
                    <w:t xml:space="preserve"> WFX-130B</w:t>
                  </w:r>
                </w:p>
              </w:tc>
              <w:tc>
                <w:tcPr>
                  <w:tcW w:w="78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A03-02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eastAsia="zh-CN"/>
                    </w:rPr>
                    <w:t>总镍</w:t>
                  </w: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rPr>
                  </w:pPr>
                </w:p>
              </w:tc>
              <w:tc>
                <w:tcPr>
                  <w:tcW w:w="78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sz w:val="22"/>
                      <w:szCs w:val="22"/>
                      <w:lang w:eastAsia="zh-CN"/>
                    </w:rPr>
                    <w:t>石油类</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红外分光测油仪</w:t>
                  </w:r>
                  <w:r>
                    <w:rPr>
                      <w:rFonts w:hint="default" w:ascii="Times New Roman" w:hAnsi="Times New Roman" w:eastAsia="宋体" w:cs="Times New Roman"/>
                      <w:color w:val="000000"/>
                      <w:sz w:val="22"/>
                      <w:szCs w:val="22"/>
                      <w:lang w:val="en-US" w:eastAsia="zh-CN"/>
                    </w:rPr>
                    <w:t xml:space="preserve"> </w:t>
                  </w:r>
                  <w:r>
                    <w:rPr>
                      <w:rFonts w:hint="default" w:ascii="Times New Roman" w:hAnsi="Times New Roman" w:eastAsia="宋体" w:cs="Times New Roman"/>
                      <w:color w:val="000000"/>
                      <w:sz w:val="22"/>
                      <w:szCs w:val="22"/>
                    </w:rPr>
                    <w:t>OIL460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lang w:val="en-US" w:eastAsia="zh-CN"/>
                    </w:rPr>
                    <w:t>A09-02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阴离子表面活性剂</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rPr>
                    <w:t>可见分光光度计</w:t>
                  </w:r>
                  <w:r>
                    <w:rPr>
                      <w:rFonts w:hint="default" w:ascii="Times New Roman" w:hAnsi="Times New Roman" w:eastAsia="宋体" w:cs="Times New Roman"/>
                      <w:color w:val="000000"/>
                      <w:sz w:val="22"/>
                      <w:szCs w:val="22"/>
                      <w:lang w:val="en-US" w:eastAsia="zh-CN"/>
                    </w:rPr>
                    <w:t xml:space="preserve"> </w:t>
                  </w:r>
                  <w:r>
                    <w:rPr>
                      <w:rFonts w:hint="default" w:ascii="Times New Roman" w:hAnsi="Times New Roman" w:eastAsia="宋体" w:cs="Times New Roman"/>
                      <w:color w:val="000000"/>
                      <w:sz w:val="22"/>
                      <w:szCs w:val="22"/>
                    </w:rPr>
                    <w:t>723S</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000000"/>
                      <w:sz w:val="22"/>
                      <w:szCs w:val="22"/>
                      <w:lang w:val="en-US" w:eastAsia="zh-CN"/>
                    </w:rPr>
                    <w:t>A08-01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悬浮物</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rPr>
                    <w:t>电热鼓风干燥箱</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DHG-9140A</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lang w:val="en-US" w:eastAsia="zh-CN"/>
                    </w:rPr>
                    <w:t>B13-05</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rPr>
                    <w:t>电子天平</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ATX224</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lang w:val="en-US" w:eastAsia="zh-CN"/>
                    </w:rPr>
                    <w:t>A10-01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氟化物</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eastAsia="zh-CN"/>
                    </w:rPr>
                    <w:t>离子计</w:t>
                  </w:r>
                  <w:r>
                    <w:rPr>
                      <w:rFonts w:hint="default" w:ascii="Times New Roman" w:hAnsi="Times New Roman" w:eastAsia="宋体" w:cs="Times New Roman"/>
                      <w:color w:val="auto"/>
                      <w:sz w:val="22"/>
                      <w:szCs w:val="22"/>
                      <w:lang w:val="en-US" w:eastAsia="zh-CN"/>
                    </w:rPr>
                    <w:t xml:space="preserve"> ST5000i</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A13-02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氯化氢</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智能烟尘烟气分析仪</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EM-3088-2.0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eastAsia="zh-CN"/>
                    </w:rPr>
                    <w:t>智能双路烟气采样器</w:t>
                  </w:r>
                  <w:r>
                    <w:rPr>
                      <w:rFonts w:hint="default" w:ascii="Times New Roman" w:hAnsi="Times New Roman" w:eastAsia="宋体" w:cs="Times New Roman"/>
                      <w:color w:val="auto"/>
                      <w:sz w:val="22"/>
                      <w:szCs w:val="22"/>
                      <w:lang w:val="en-US" w:eastAsia="zh-CN"/>
                    </w:rPr>
                    <w:t xml:space="preserve"> 3072</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C11-01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C11-02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智能综合采样器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ADS-2062E-2.0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C16-15</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C16-17</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离子色谱仪ICS-600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A07-01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硫酸雾</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智能烟尘烟气分析仪</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EM-3088-2.0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智能综合采样器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ADS-2062E-2.0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C16-16</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离子色谱仪ICS-600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A07-01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氟化物</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智能烟尘烟气分析仪</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EM-3088-2.0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eastAsia="zh-CN"/>
                    </w:rPr>
                    <w:t>高负压智能综合采样器</w:t>
                  </w:r>
                  <w:r>
                    <w:rPr>
                      <w:rFonts w:hint="default" w:ascii="Times New Roman" w:hAnsi="Times New Roman" w:eastAsia="宋体" w:cs="Times New Roman"/>
                      <w:color w:val="auto"/>
                      <w:sz w:val="22"/>
                      <w:szCs w:val="22"/>
                      <w:lang w:val="en-US" w:eastAsia="zh-CN"/>
                    </w:rPr>
                    <w:t xml:space="preserve"> ADS-2062G</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离子计 ST5000i</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A13-02</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color w:val="auto"/>
                      <w:sz w:val="22"/>
                      <w:szCs w:val="22"/>
                      <w:lang w:eastAsia="zh-CN"/>
                    </w:rPr>
                    <w:t>氮氧化物</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智能烟尘烟气分析仪</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EM-3088-2.0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智能综合采样器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ADS-2062E-2.0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FF0000"/>
                      <w:kern w:val="2"/>
                      <w:sz w:val="22"/>
                      <w:szCs w:val="22"/>
                      <w:lang w:val="en-US" w:eastAsia="zh-CN" w:bidi="ar-SA"/>
                    </w:rPr>
                  </w:pPr>
                  <w:r>
                    <w:rPr>
                      <w:rFonts w:hint="default" w:ascii="Times New Roman" w:hAnsi="Times New Roman" w:eastAsia="宋体" w:cs="Times New Roman"/>
                      <w:color w:val="auto"/>
                      <w:sz w:val="22"/>
                      <w:szCs w:val="22"/>
                      <w:lang w:val="en-US" w:eastAsia="zh-CN"/>
                    </w:rPr>
                    <w:t>C16-16</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非甲烷总烃</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智能烟尘烟气分析仪</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EM-3088-2.0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C09-03</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C09-04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rPr>
                    <w:t>气相色谱仪</w:t>
                  </w:r>
                  <w:r>
                    <w:rPr>
                      <w:rFonts w:hint="default" w:ascii="Times New Roman" w:hAnsi="Times New Roman" w:eastAsia="宋体" w:cs="Times New Roman"/>
                      <w:color w:val="auto"/>
                      <w:sz w:val="22"/>
                      <w:szCs w:val="22"/>
                      <w:highlight w:val="none"/>
                      <w:lang w:val="en-US" w:eastAsia="zh-CN"/>
                    </w:rPr>
                    <w:t xml:space="preserve"> </w:t>
                  </w:r>
                  <w:r>
                    <w:rPr>
                      <w:rFonts w:hint="default" w:ascii="Times New Roman" w:hAnsi="Times New Roman" w:eastAsia="宋体" w:cs="Times New Roman"/>
                      <w:color w:val="auto"/>
                      <w:sz w:val="22"/>
                      <w:szCs w:val="22"/>
                      <w:highlight w:val="none"/>
                    </w:rPr>
                    <w:t>GC9790plus</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A01-01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color w:val="auto"/>
                      <w:sz w:val="22"/>
                      <w:szCs w:val="22"/>
                      <w:highlight w:val="none"/>
                      <w:lang w:eastAsia="zh-CN"/>
                    </w:rPr>
                    <w:t>总悬浮颗粒物</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智能综合采样器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ADS-2062E-2.0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C16-15</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highlight w:val="none"/>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auto"/>
                      <w:sz w:val="22"/>
                      <w:szCs w:val="22"/>
                      <w:lang w:eastAsia="zh-CN"/>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C16-17</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电子天平 AUW120D</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A10-05</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color w:val="auto"/>
                      <w:sz w:val="22"/>
                      <w:szCs w:val="22"/>
                      <w:lang w:eastAsia="zh-CN"/>
                    </w:rPr>
                    <w:t>二氧化硫</w:t>
                  </w:r>
                </w:p>
              </w:tc>
              <w:tc>
                <w:tcPr>
                  <w:tcW w:w="2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智能综合采样器</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ADS-2062E-2.0</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C16-14</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highlight w:val="none"/>
                      <w:lang w:val="en-US" w:eastAsia="zh-CN" w:bidi="ar-SA"/>
                    </w:rPr>
                  </w:pP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C16-16</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可见分光光度计</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723S</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A08-01</w:t>
                  </w:r>
                </w:p>
              </w:tc>
              <w:tc>
                <w:tcPr>
                  <w:tcW w:w="79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color w:val="000000"/>
                      <w:sz w:val="22"/>
                      <w:szCs w:val="22"/>
                    </w:rPr>
                    <w:t>厂界噪声</w:t>
                  </w: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sz w:val="22"/>
                      <w:szCs w:val="22"/>
                      <w:highlight w:val="none"/>
                    </w:rPr>
                    <w:t>多功能声级计</w:t>
                  </w:r>
                  <w:r>
                    <w:rPr>
                      <w:rFonts w:hint="default" w:ascii="Times New Roman" w:hAnsi="Times New Roman" w:eastAsia="宋体" w:cs="Times New Roman"/>
                      <w:color w:val="auto"/>
                      <w:sz w:val="22"/>
                      <w:szCs w:val="22"/>
                      <w:highlight w:val="none"/>
                      <w:lang w:val="en-US" w:eastAsia="zh-CN"/>
                    </w:rPr>
                    <w:t xml:space="preserve"> </w:t>
                  </w:r>
                  <w:r>
                    <w:rPr>
                      <w:rFonts w:hint="default" w:ascii="Times New Roman" w:hAnsi="Times New Roman" w:eastAsia="宋体" w:cs="Times New Roman"/>
                      <w:color w:val="auto"/>
                      <w:sz w:val="22"/>
                      <w:szCs w:val="22"/>
                      <w:highlight w:val="none"/>
                    </w:rPr>
                    <w:t>AWA</w:t>
                  </w:r>
                  <w:r>
                    <w:rPr>
                      <w:rFonts w:hint="default" w:ascii="Times New Roman" w:hAnsi="Times New Roman" w:eastAsia="宋体" w:cs="Times New Roman"/>
                      <w:color w:val="auto"/>
                      <w:sz w:val="22"/>
                      <w:szCs w:val="22"/>
                      <w:highlight w:val="none"/>
                      <w:lang w:val="en-US" w:eastAsia="zh-CN"/>
                    </w:rPr>
                    <w:t>6228</w:t>
                  </w:r>
                  <w:r>
                    <w:rPr>
                      <w:rFonts w:hint="default" w:ascii="Times New Roman" w:hAnsi="Times New Roman" w:eastAsia="宋体" w:cs="Times New Roman"/>
                      <w:color w:val="auto"/>
                      <w:sz w:val="22"/>
                      <w:szCs w:val="22"/>
                      <w:highlight w:val="none"/>
                      <w:vertAlign w:val="superscript"/>
                      <w:lang w:val="en-US" w:eastAsia="zh-CN"/>
                    </w:rPr>
                    <w:t>+</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C17-04</w:t>
                  </w:r>
                </w:p>
              </w:tc>
              <w:tc>
                <w:tcPr>
                  <w:tcW w:w="793"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lang w:eastAsia="zh-CN"/>
                    </w:rPr>
                  </w:pPr>
                </w:p>
              </w:tc>
              <w:tc>
                <w:tcPr>
                  <w:tcW w:w="225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声校准器 AWA</w:t>
                  </w:r>
                  <w:r>
                    <w:rPr>
                      <w:rFonts w:hint="default" w:ascii="Times New Roman" w:hAnsi="Times New Roman" w:eastAsia="宋体" w:cs="Times New Roman"/>
                      <w:color w:val="auto"/>
                      <w:sz w:val="22"/>
                      <w:szCs w:val="22"/>
                      <w:highlight w:val="none"/>
                      <w:lang w:val="en-US" w:eastAsia="zh-CN"/>
                    </w:rPr>
                    <w:t>6221</w:t>
                  </w:r>
                  <w:r>
                    <w:rPr>
                      <w:rFonts w:hint="default" w:ascii="Times New Roman" w:hAnsi="Times New Roman" w:eastAsia="宋体" w:cs="Times New Roman"/>
                      <w:color w:val="auto"/>
                      <w:sz w:val="22"/>
                      <w:szCs w:val="22"/>
                      <w:highlight w:val="none"/>
                    </w:rPr>
                    <w:t>A</w:t>
                  </w:r>
                </w:p>
              </w:tc>
              <w:tc>
                <w:tcPr>
                  <w:tcW w:w="7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C18-04</w:t>
                  </w:r>
                </w:p>
              </w:tc>
              <w:tc>
                <w:tcPr>
                  <w:tcW w:w="793"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2"/>
                      <w:szCs w:val="22"/>
                    </w:rPr>
                  </w:pPr>
                </w:p>
              </w:tc>
            </w:tr>
          </w:tbl>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11" w:name="_Toc512518749"/>
            <w:r>
              <w:rPr>
                <w:rFonts w:hint="default" w:ascii="Times New Roman" w:hAnsi="Times New Roman" w:eastAsia="宋体" w:cs="Times New Roman"/>
                <w:b/>
                <w:color w:val="000000" w:themeColor="text1"/>
                <w:sz w:val="26"/>
                <w:szCs w:val="26"/>
                <w14:textFill>
                  <w14:solidFill>
                    <w14:schemeClr w14:val="tx1"/>
                  </w14:solidFill>
                </w14:textFill>
              </w:rPr>
              <w:t>5.3监测分析过程中的质量保证和质量控制</w:t>
            </w:r>
            <w:bookmarkEnd w:id="11"/>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计量认证：验收监测采样、分析仪器均经计量检定合格，且在有效期内使用。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采样规范：水样的采集、运输、保存、实验室分析和数据计算的全过程均按照HJ/T91、HJ493、HJ/T373、HJ/T397、HJ630等规范的要求进行。气样的采集、运输、保存、实验室分析和数据计算的全过程均按照HJ/T91、HJ493、HJ/T373、HJ/T397、HJ630等规范要求进行。厂界环境噪声的测量按照GB12348要求进行。</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严格管理：监测采样和测试人员均持证上岗，样品的采集、保存、运输、交接等由专人负责管理及记录。监测采样和测试人员根据污染因子特点选择合适的监测分析方法及监测仪器。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样品监控：严格按监测规范的要求进行采样和分析。按规定加平行样、加标样及外控样，实验室内做10%密码平行样或明码平行样、10%加标样、10%自控样、10%外控样以外，其他控制措施按相关监测技术规范的要求执行。</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设备校核：监测时使用经计量部门检定、并在有效使用期内的声级计；声级计在测试前后用标准发生源进行校准，测量前后仪器的灵敏度相差不大于0.5dB。</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数据审核：监测数据的计算、检验、异常值剔除等按国家标准及《环境监测技术规范》等执行，数据及报告经三级审核合格报出。</w:t>
            </w:r>
          </w:p>
          <w:p>
            <w:pPr>
              <w:pStyle w:val="22"/>
              <w:spacing w:before="48" w:beforeLines="20" w:line="460" w:lineRule="atLeast"/>
              <w:ind w:left="360" w:firstLine="0" w:firstLineChars="0"/>
              <w:rPr>
                <w:rFonts w:hint="default" w:ascii="Times New Roman" w:hAnsi="Times New Roman" w:eastAsia="宋体" w:cs="Times New Roman"/>
                <w:bCs/>
                <w:color w:val="000000" w:themeColor="text1"/>
                <w:kern w:val="0"/>
                <w:sz w:val="24"/>
                <w:szCs w:val="24"/>
                <w14:textFill>
                  <w14:solidFill>
                    <w14:schemeClr w14:val="tx1"/>
                  </w14:solidFill>
                </w14:textFill>
              </w:rPr>
            </w:pPr>
          </w:p>
          <w:p>
            <w:pPr>
              <w:pStyle w:val="22"/>
              <w:spacing w:before="48" w:beforeLines="20" w:line="460" w:lineRule="atLeast"/>
              <w:ind w:left="0" w:leftChars="0"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tc>
      </w:tr>
    </w:tbl>
    <w:p>
      <w:pPr>
        <w:pStyle w:val="37"/>
        <w:ind w:right="-2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表六</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验收监测内容：</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验收监测内容见表6.1-1，验收监测布点见附图5。</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表6.1-1   验收监测内容一览表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306"/>
              <w:gridCol w:w="2125"/>
              <w:gridCol w:w="2134"/>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类别</w:t>
                  </w:r>
                </w:p>
              </w:tc>
              <w:tc>
                <w:tcPr>
                  <w:tcW w:w="787"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污染源</w:t>
                  </w:r>
                </w:p>
              </w:tc>
              <w:tc>
                <w:tcPr>
                  <w:tcW w:w="1281"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监测采样点位</w:t>
                  </w:r>
                </w:p>
              </w:tc>
              <w:tc>
                <w:tcPr>
                  <w:tcW w:w="1286"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监测因子</w:t>
                  </w:r>
                </w:p>
              </w:tc>
              <w:tc>
                <w:tcPr>
                  <w:tcW w:w="1107"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vMerge w:val="restar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废水</w:t>
                  </w:r>
                </w:p>
              </w:tc>
              <w:tc>
                <w:tcPr>
                  <w:tcW w:w="787"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含镍废水</w:t>
                  </w:r>
                </w:p>
              </w:tc>
              <w:tc>
                <w:tcPr>
                  <w:tcW w:w="1281"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含镍废水进口WS1</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、含镍废水出口WS2</w:t>
                  </w:r>
                </w:p>
              </w:tc>
              <w:tc>
                <w:tcPr>
                  <w:tcW w:w="1286"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流量、总镍</w:t>
                  </w:r>
                </w:p>
              </w:tc>
              <w:tc>
                <w:tcPr>
                  <w:tcW w:w="1107"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连续监测2</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天</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vMerge w:val="continue"/>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p>
              </w:tc>
              <w:tc>
                <w:tcPr>
                  <w:tcW w:w="787"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生产废水</w:t>
                  </w:r>
                </w:p>
              </w:tc>
              <w:tc>
                <w:tcPr>
                  <w:tcW w:w="1281"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生产废水进口WS3、生产废水出口WS4</w:t>
                  </w:r>
                </w:p>
              </w:tc>
              <w:tc>
                <w:tcPr>
                  <w:tcW w:w="1286"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流量、pH、COD、SS、氨氮、BOD</w:t>
                  </w:r>
                  <w:r>
                    <w:rPr>
                      <w:rFonts w:hint="default" w:ascii="Times New Roman" w:hAnsi="Times New Roman" w:eastAsia="宋体" w:cs="Times New Roman"/>
                      <w:bCs/>
                      <w:snapToGrid w:val="0"/>
                      <w:color w:val="000000" w:themeColor="text1"/>
                      <w:kern w:val="2"/>
                      <w:sz w:val="22"/>
                      <w:szCs w:val="22"/>
                      <w:vertAlign w:val="subscript"/>
                      <w:lang w:val="en-US" w:eastAsia="zh-CN" w:bidi="ar-SA"/>
                      <w14:textFill>
                        <w14:solidFill>
                          <w14:schemeClr w14:val="tx1"/>
                        </w14:solidFill>
                      </w14:textFill>
                    </w:rPr>
                    <w:t>5</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、总铜、总镍、石油类、氟化物、LAS</w:t>
                  </w:r>
                </w:p>
              </w:tc>
              <w:tc>
                <w:tcPr>
                  <w:tcW w:w="1107"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连续监测2</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天</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vMerge w:val="continue"/>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p>
              </w:tc>
              <w:tc>
                <w:tcPr>
                  <w:tcW w:w="787"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生活污水</w:t>
                  </w:r>
                </w:p>
              </w:tc>
              <w:tc>
                <w:tcPr>
                  <w:tcW w:w="1281" w:type="pct"/>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生化池出口</w:t>
                  </w:r>
                </w:p>
              </w:tc>
              <w:tc>
                <w:tcPr>
                  <w:tcW w:w="1286"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流量、pH、COD、BOD</w:t>
                  </w:r>
                  <w:r>
                    <w:rPr>
                      <w:rFonts w:hint="default" w:ascii="Times New Roman" w:hAnsi="Times New Roman" w:eastAsia="宋体" w:cs="Times New Roman"/>
                      <w:bCs/>
                      <w:snapToGrid w:val="0"/>
                      <w:color w:val="000000" w:themeColor="text1"/>
                      <w:kern w:val="2"/>
                      <w:sz w:val="22"/>
                      <w:szCs w:val="22"/>
                      <w:vertAlign w:val="subscript"/>
                      <w:lang w:val="en-US" w:eastAsia="zh-CN" w:bidi="ar-SA"/>
                      <w14:textFill>
                        <w14:solidFill>
                          <w14:schemeClr w14:val="tx1"/>
                        </w14:solidFill>
                      </w14:textFill>
                    </w:rPr>
                    <w:t>5</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、SS、氨氮</w:t>
                  </w:r>
                </w:p>
              </w:tc>
              <w:tc>
                <w:tcPr>
                  <w:tcW w:w="1107" w:type="pct"/>
                  <w:tcMar>
                    <w:left w:w="28" w:type="dxa"/>
                    <w:right w:w="28" w:type="dxa"/>
                  </w:tcMar>
                  <w:vAlign w:val="center"/>
                </w:tcPr>
                <w:p>
                  <w:pPr>
                    <w:adjustRightInd w:val="0"/>
                    <w:snapToGrid w:val="0"/>
                    <w:spacing w:after="0" w:line="240" w:lineRule="auto"/>
                    <w:ind w:firstLine="0" w:firstLineChars="0"/>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连续监测2</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天</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vMerge w:val="restar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废气</w:t>
                  </w:r>
                </w:p>
              </w:tc>
              <w:tc>
                <w:tcPr>
                  <w:tcW w:w="787"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配件清洗废气</w:t>
                  </w:r>
                </w:p>
              </w:tc>
              <w:tc>
                <w:tcPr>
                  <w:tcW w:w="1281" w:type="pct"/>
                  <w:vAlign w:val="center"/>
                </w:tcPr>
                <w:p>
                  <w:pPr>
                    <w:pStyle w:val="28"/>
                    <w:jc w:val="both"/>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1#</w:t>
                  </w:r>
                  <w:r>
                    <w:rPr>
                      <w:rFonts w:hint="default" w:ascii="Times New Roman" w:hAnsi="Times New Roman" w:eastAsia="宋体" w:cs="Times New Roman"/>
                      <w:color w:val="000000" w:themeColor="text1"/>
                      <w:sz w:val="22"/>
                      <w:szCs w:val="22"/>
                      <w14:textFill>
                        <w14:solidFill>
                          <w14:schemeClr w14:val="tx1"/>
                        </w14:solidFill>
                      </w14:textFill>
                    </w:rPr>
                    <w:t>排气筒</w:t>
                  </w:r>
                  <w:r>
                    <w:rPr>
                      <w:rFonts w:hint="eastAsia" w:cs="Times New Roman"/>
                      <w:color w:val="000000" w:themeColor="text1"/>
                      <w:sz w:val="22"/>
                      <w:szCs w:val="22"/>
                      <w:lang w:val="en-US" w:eastAsia="zh-CN"/>
                      <w14:textFill>
                        <w14:solidFill>
                          <w14:schemeClr w14:val="tx1"/>
                        </w14:solidFill>
                      </w14:textFill>
                    </w:rPr>
                    <w:t>进口</w:t>
                  </w:r>
                  <w:r>
                    <w:rPr>
                      <w:rFonts w:hint="default" w:ascii="Times New Roman" w:hAnsi="Times New Roman" w:eastAsia="宋体" w:cs="Times New Roman"/>
                      <w:color w:val="000000" w:themeColor="text1"/>
                      <w:sz w:val="22"/>
                      <w:szCs w:val="22"/>
                      <w14:textFill>
                        <w14:solidFill>
                          <w14:schemeClr w14:val="tx1"/>
                        </w14:solidFill>
                      </w14:textFill>
                    </w:rPr>
                    <w:t>FQ1</w:t>
                  </w:r>
                  <w:r>
                    <w:rPr>
                      <w:rFonts w:hint="eastAsia" w:ascii="Times New Roman" w:hAnsi="Times New Roman" w:eastAsia="宋体" w:cs="Times New Roman"/>
                      <w:color w:val="000000" w:themeColor="text1"/>
                      <w:sz w:val="22"/>
                      <w:szCs w:val="22"/>
                      <w:lang w:eastAsia="zh-CN"/>
                      <w14:textFill>
                        <w14:solidFill>
                          <w14:schemeClr w14:val="tx1"/>
                        </w14:solidFill>
                      </w14:textFill>
                    </w:rPr>
                    <w:t>、</w:t>
                  </w:r>
                  <w:r>
                    <w:rPr>
                      <w:rFonts w:hint="default" w:ascii="Times New Roman" w:hAnsi="Times New Roman" w:eastAsia="宋体" w:cs="Times New Roman"/>
                      <w:color w:val="000000" w:themeColor="text1"/>
                      <w:sz w:val="22"/>
                      <w:szCs w:val="22"/>
                      <w14:textFill>
                        <w14:solidFill>
                          <w14:schemeClr w14:val="tx1"/>
                        </w14:solidFill>
                      </w14:textFill>
                    </w:rPr>
                    <w:t>出口FQ</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w:t>
                  </w:r>
                </w:p>
              </w:tc>
              <w:tc>
                <w:tcPr>
                  <w:tcW w:w="1286" w:type="pct"/>
                  <w:tcMar>
                    <w:left w:w="28" w:type="dxa"/>
                    <w:right w:w="28" w:type="dxa"/>
                  </w:tcMar>
                  <w:vAlign w:val="center"/>
                </w:tcPr>
                <w:p>
                  <w:pPr>
                    <w:pStyle w:val="28"/>
                    <w:jc w:val="both"/>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氯化氢、硫酸雾、氟化物、氮氧化物、非甲烷总烃</w:t>
                  </w:r>
                </w:p>
              </w:tc>
              <w:tc>
                <w:tcPr>
                  <w:tcW w:w="1107" w:type="pct"/>
                  <w:vMerge w:val="restar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每天间隔采样3次，连续监测2天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blHeader/>
                <w:jc w:val="center"/>
              </w:trPr>
              <w:tc>
                <w:tcPr>
                  <w:tcW w:w="537" w:type="pct"/>
                  <w:vMerge w:val="continue"/>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p>
              </w:tc>
              <w:tc>
                <w:tcPr>
                  <w:tcW w:w="787"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厂界</w:t>
                  </w:r>
                  <w:r>
                    <w:rPr>
                      <w:rFonts w:hint="default" w:ascii="Times New Roman" w:hAnsi="Times New Roman" w:eastAsia="宋体" w:cs="Times New Roman"/>
                      <w:color w:val="000000" w:themeColor="text1"/>
                      <w:sz w:val="22"/>
                      <w:szCs w:val="22"/>
                      <w14:textFill>
                        <w14:solidFill>
                          <w14:schemeClr w14:val="tx1"/>
                        </w14:solidFill>
                      </w14:textFill>
                    </w:rPr>
                    <w:t>无组织排放废气</w:t>
                  </w:r>
                </w:p>
              </w:tc>
              <w:tc>
                <w:tcPr>
                  <w:tcW w:w="1281" w:type="pct"/>
                  <w:vAlign w:val="center"/>
                </w:tcPr>
                <w:p>
                  <w:pPr>
                    <w:pStyle w:val="28"/>
                    <w:jc w:val="both"/>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下风向浓度最高点</w:t>
                  </w:r>
                  <w:r>
                    <w:rPr>
                      <w:rFonts w:hint="eastAsia" w:cs="Times New Roman"/>
                      <w:color w:val="000000" w:themeColor="text1"/>
                      <w:sz w:val="22"/>
                      <w:szCs w:val="22"/>
                      <w:lang w:val="en-US" w:eastAsia="zh-CN"/>
                      <w14:textFill>
                        <w14:solidFill>
                          <w14:schemeClr w14:val="tx1"/>
                        </w14:solidFill>
                      </w14:textFill>
                    </w:rPr>
                    <w:t>WQ1、</w:t>
                  </w:r>
                  <w:r>
                    <w:rPr>
                      <w:rFonts w:hint="default" w:ascii="Times New Roman" w:hAnsi="Times New Roman" w:eastAsia="宋体" w:cs="Times New Roman"/>
                      <w:color w:val="000000" w:themeColor="text1"/>
                      <w:sz w:val="22"/>
                      <w:szCs w:val="22"/>
                      <w14:textFill>
                        <w14:solidFill>
                          <w14:schemeClr w14:val="tx1"/>
                        </w14:solidFill>
                      </w14:textFill>
                    </w:rPr>
                    <w:t>上风向监控点</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WQ2</w:t>
                  </w:r>
                  <w:r>
                    <w:rPr>
                      <w:rFonts w:hint="default" w:ascii="Times New Roman" w:hAnsi="Times New Roman" w:eastAsia="宋体" w:cs="Times New Roman"/>
                      <w:color w:val="000000" w:themeColor="text1"/>
                      <w:sz w:val="22"/>
                      <w:szCs w:val="22"/>
                      <w14:textFill>
                        <w14:solidFill>
                          <w14:schemeClr w14:val="tx1"/>
                        </w14:solidFill>
                      </w14:textFill>
                    </w:rPr>
                    <w:t>，</w:t>
                  </w:r>
                </w:p>
              </w:tc>
              <w:tc>
                <w:tcPr>
                  <w:tcW w:w="1286" w:type="pct"/>
                  <w:tcMar>
                    <w:left w:w="28" w:type="dxa"/>
                    <w:right w:w="28" w:type="dxa"/>
                  </w:tcMar>
                  <w:vAlign w:val="center"/>
                </w:tcPr>
                <w:p>
                  <w:pPr>
                    <w:pStyle w:val="28"/>
                    <w:jc w:val="both"/>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氯化氢、硫酸雾、氟化物、氮氧化物、</w:t>
                  </w:r>
                  <w:r>
                    <w:rPr>
                      <w:rFonts w:hint="eastAsia" w:ascii="Times New Roman" w:hAnsi="Times New Roman" w:eastAsia="宋体" w:cs="Times New Roman"/>
                      <w:color w:val="000000" w:themeColor="text1"/>
                      <w:sz w:val="22"/>
                      <w:szCs w:val="22"/>
                      <w:lang w:eastAsia="zh-CN"/>
                      <w14:textFill>
                        <w14:solidFill>
                          <w14:schemeClr w14:val="tx1"/>
                        </w14:solidFill>
                      </w14:textFill>
                    </w:rPr>
                    <w:t>非甲烷总烃、</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颗粒物、二氧化硫</w:t>
                  </w:r>
                </w:p>
              </w:tc>
              <w:tc>
                <w:tcPr>
                  <w:tcW w:w="1107" w:type="pct"/>
                  <w:vMerge w:val="continue"/>
                  <w:tcMar>
                    <w:left w:w="28" w:type="dxa"/>
                    <w:right w:w="28" w:type="dxa"/>
                  </w:tcMar>
                  <w:vAlign w:val="center"/>
                </w:tcPr>
                <w:p>
                  <w:pPr>
                    <w:spacing w:after="100" w:afterAutospacing="1" w:line="320" w:lineRule="atLeast"/>
                    <w:jc w:val="center"/>
                    <w:rPr>
                      <w:rFonts w:hint="default" w:ascii="Times New Roman" w:hAnsi="Times New Roman" w:eastAsia="宋体" w:cs="Times New Roman"/>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7"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噪声</w:t>
                  </w:r>
                </w:p>
              </w:tc>
              <w:tc>
                <w:tcPr>
                  <w:tcW w:w="787"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厂界噪声</w:t>
                  </w:r>
                </w:p>
              </w:tc>
              <w:tc>
                <w:tcPr>
                  <w:tcW w:w="1281" w:type="pct"/>
                  <w:vAlign w:val="center"/>
                </w:tcPr>
                <w:p>
                  <w:pPr>
                    <w:pStyle w:val="28"/>
                    <w:jc w:val="both"/>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东、南、北侧厂界外1m</w:t>
                  </w:r>
                </w:p>
              </w:tc>
              <w:tc>
                <w:tcPr>
                  <w:tcW w:w="1286"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等效连续声级</w:t>
                  </w:r>
                </w:p>
              </w:tc>
              <w:tc>
                <w:tcPr>
                  <w:tcW w:w="1107" w:type="pct"/>
                  <w:tcMar>
                    <w:left w:w="28" w:type="dxa"/>
                    <w:right w:w="28" w:type="dxa"/>
                  </w:tcMar>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每天昼间监测1次，连续监测2天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5"/>
                  <w:tcMar>
                    <w:left w:w="28" w:type="dxa"/>
                    <w:right w:w="28" w:type="dxa"/>
                  </w:tcMar>
                  <w:vAlign w:val="center"/>
                </w:tcPr>
                <w:p>
                  <w:pPr>
                    <w:pStyle w:val="28"/>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备注：项目</w:t>
                  </w:r>
                  <w:r>
                    <w:rPr>
                      <w:rFonts w:hint="eastAsia" w:cs="Times New Roman"/>
                      <w:color w:val="000000" w:themeColor="text1"/>
                      <w:sz w:val="22"/>
                      <w:szCs w:val="22"/>
                      <w:lang w:val="en-US" w:eastAsia="zh-CN"/>
                      <w14:textFill>
                        <w14:solidFill>
                          <w14:schemeClr w14:val="tx1"/>
                        </w14:solidFill>
                      </w14:textFill>
                    </w:rPr>
                    <w:t>废水生化池</w:t>
                  </w:r>
                  <w:r>
                    <w:rPr>
                      <w:rFonts w:hint="default" w:ascii="Times New Roman" w:hAnsi="Times New Roman" w:eastAsia="宋体" w:cs="Times New Roman"/>
                      <w:color w:val="000000" w:themeColor="text1"/>
                      <w:sz w:val="22"/>
                      <w:szCs w:val="22"/>
                      <w14:textFill>
                        <w14:solidFill>
                          <w14:schemeClr w14:val="tx1"/>
                        </w14:solidFill>
                      </w14:textFill>
                    </w:rPr>
                    <w:t>进口</w:t>
                  </w:r>
                  <w:r>
                    <w:rPr>
                      <w:rFonts w:hint="eastAsia" w:cs="Times New Roman"/>
                      <w:color w:val="000000" w:themeColor="text1"/>
                      <w:sz w:val="22"/>
                      <w:szCs w:val="22"/>
                      <w:lang w:val="en-US" w:eastAsia="zh-CN"/>
                      <w14:textFill>
                        <w14:solidFill>
                          <w14:schemeClr w14:val="tx1"/>
                        </w14:solidFill>
                      </w14:textFill>
                    </w:rPr>
                    <w:t>无法</w:t>
                  </w:r>
                  <w:r>
                    <w:rPr>
                      <w:rFonts w:hint="default" w:ascii="Times New Roman" w:hAnsi="Times New Roman" w:eastAsia="宋体" w:cs="Times New Roman"/>
                      <w:color w:val="000000" w:themeColor="text1"/>
                      <w:sz w:val="22"/>
                      <w:szCs w:val="22"/>
                      <w14:textFill>
                        <w14:solidFill>
                          <w14:schemeClr w14:val="tx1"/>
                        </w14:solidFill>
                      </w14:textFill>
                    </w:rPr>
                    <w:t>进行</w:t>
                  </w:r>
                  <w:r>
                    <w:rPr>
                      <w:rFonts w:hint="eastAsia" w:cs="Times New Roman"/>
                      <w:color w:val="000000" w:themeColor="text1"/>
                      <w:sz w:val="22"/>
                      <w:szCs w:val="22"/>
                      <w:lang w:val="en-US" w:eastAsia="zh-CN"/>
                      <w14:textFill>
                        <w14:solidFill>
                          <w14:schemeClr w14:val="tx1"/>
                        </w14:solidFill>
                      </w14:textFill>
                    </w:rPr>
                    <w:t>取样监测</w:t>
                  </w:r>
                  <w:r>
                    <w:rPr>
                      <w:rFonts w:hint="default" w:ascii="Times New Roman" w:hAnsi="Times New Roman" w:eastAsia="宋体" w:cs="Times New Roman"/>
                      <w:color w:val="000000" w:themeColor="text1"/>
                      <w:sz w:val="22"/>
                      <w:szCs w:val="22"/>
                      <w14:textFill>
                        <w14:solidFill>
                          <w14:schemeClr w14:val="tx1"/>
                        </w14:solidFill>
                      </w14:textFill>
                    </w:rPr>
                    <w:t>，故项目仅监测了</w:t>
                  </w:r>
                  <w:r>
                    <w:rPr>
                      <w:rFonts w:hint="eastAsia" w:cs="Times New Roman"/>
                      <w:color w:val="000000" w:themeColor="text1"/>
                      <w:sz w:val="22"/>
                      <w:szCs w:val="22"/>
                      <w:lang w:val="en-US" w:eastAsia="zh-CN"/>
                      <w14:textFill>
                        <w14:solidFill>
                          <w14:schemeClr w14:val="tx1"/>
                        </w14:solidFill>
                      </w14:textFill>
                    </w:rPr>
                    <w:t>生化池</w:t>
                  </w:r>
                  <w:r>
                    <w:rPr>
                      <w:rFonts w:hint="default" w:ascii="Times New Roman" w:hAnsi="Times New Roman" w:eastAsia="宋体" w:cs="Times New Roman"/>
                      <w:color w:val="000000" w:themeColor="text1"/>
                      <w:sz w:val="22"/>
                      <w:szCs w:val="22"/>
                      <w14:textFill>
                        <w14:solidFill>
                          <w14:schemeClr w14:val="tx1"/>
                        </w14:solidFill>
                      </w14:textFill>
                    </w:rPr>
                    <w:t>排放口。</w:t>
                  </w:r>
                </w:p>
              </w:tc>
            </w:tr>
          </w:tbl>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pStyle w:val="19"/>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rPr>
                <w:rFonts w:hint="default" w:ascii="Times New Roman" w:hAnsi="Times New Roman" w:eastAsia="宋体" w:cs="Times New Roman"/>
                <w:color w:val="000000" w:themeColor="text1"/>
                <w:sz w:val="24"/>
                <w:szCs w:val="24"/>
                <w14:textFill>
                  <w14:solidFill>
                    <w14:schemeClr w14:val="tx1"/>
                  </w14:solidFill>
                </w14:textFill>
              </w:rPr>
            </w:pPr>
          </w:p>
        </w:tc>
      </w:tr>
    </w:tbl>
    <w:p>
      <w:pPr>
        <w:spacing w:line="460" w:lineRule="atLeast"/>
        <w:rPr>
          <w:rFonts w:hint="default" w:ascii="Times New Roman" w:hAnsi="Times New Roman" w:eastAsia="宋体" w:cs="Times New Roman"/>
          <w:color w:val="000000" w:themeColor="text1"/>
          <w:sz w:val="24"/>
          <w:szCs w:val="24"/>
          <w14:textFill>
            <w14:solidFill>
              <w14:schemeClr w14:val="tx1"/>
            </w14:solidFill>
          </w14:textFill>
        </w:rPr>
      </w:pPr>
    </w:p>
    <w:p>
      <w:pPr>
        <w:spacing w:after="0" w:line="460" w:lineRule="atLeast"/>
        <w:rPr>
          <w:rFonts w:hint="default" w:ascii="Times New Roman" w:hAnsi="Times New Roman" w:eastAsia="宋体" w:cs="Times New Roman"/>
          <w:b/>
          <w:color w:val="000000" w:themeColor="text1"/>
          <w:sz w:val="24"/>
          <w:szCs w:val="24"/>
          <w14:textFill>
            <w14:solidFill>
              <w14:schemeClr w14:val="tx1"/>
            </w14:solidFill>
          </w14:textFill>
        </w:rPr>
        <w:sectPr>
          <w:pgSz w:w="11906" w:h="16838"/>
          <w:pgMar w:top="1440" w:right="1800" w:bottom="1440" w:left="1800" w:header="708" w:footer="708" w:gutter="0"/>
          <w:cols w:space="720" w:num="1"/>
          <w:docGrid w:linePitch="360" w:charSpace="0"/>
        </w:sectPr>
      </w:pPr>
    </w:p>
    <w:p>
      <w:pPr>
        <w:pStyle w:val="37"/>
        <w:ind w:right="-2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jc w:val="center"/>
        </w:trPr>
        <w:tc>
          <w:tcPr>
            <w:tcW w:w="8924" w:type="dxa"/>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highlight w:val="none"/>
                <w14:textFill>
                  <w14:solidFill>
                    <w14:schemeClr w14:val="tx1"/>
                  </w14:solidFill>
                </w14:textFill>
              </w:rPr>
            </w:pPr>
            <w:r>
              <w:rPr>
                <w:rFonts w:hint="default" w:ascii="Times New Roman" w:hAnsi="Times New Roman" w:eastAsia="宋体" w:cs="Times New Roman"/>
                <w:b/>
                <w:color w:val="000000" w:themeColor="text1"/>
                <w:sz w:val="26"/>
                <w:szCs w:val="26"/>
                <w:highlight w:val="none"/>
                <w14:textFill>
                  <w14:solidFill>
                    <w14:schemeClr w14:val="tx1"/>
                  </w14:solidFill>
                </w14:textFill>
              </w:rPr>
              <w:t>验收监测期间生产工况记录：</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highlight w:val="none"/>
                <w14:textFill>
                  <w14:solidFill>
                    <w14:schemeClr w14:val="tx1"/>
                  </w14:solidFill>
                </w14:textFill>
              </w:rPr>
            </w:pPr>
            <w:r>
              <w:rPr>
                <w:rFonts w:hint="default" w:ascii="Times New Roman" w:hAnsi="Times New Roman" w:eastAsia="宋体" w:cs="Times New Roman"/>
                <w:bCs/>
                <w:color w:val="000000" w:themeColor="text1"/>
                <w:sz w:val="26"/>
                <w:szCs w:val="26"/>
                <w:highlight w:val="none"/>
                <w14:textFill>
                  <w14:solidFill>
                    <w14:schemeClr w14:val="tx1"/>
                  </w14:solidFill>
                </w14:textFill>
              </w:rPr>
              <w:t>项目委托</w:t>
            </w:r>
            <w:r>
              <w:rPr>
                <w:rFonts w:hint="eastAsia" w:ascii="Times New Roman" w:hAnsi="Times New Roman" w:eastAsia="宋体" w:cs="Times New Roman"/>
                <w:bCs/>
                <w:color w:val="000000" w:themeColor="text1"/>
                <w:sz w:val="26"/>
                <w:szCs w:val="26"/>
                <w:highlight w:val="none"/>
                <w:lang w:eastAsia="zh-CN"/>
                <w14:textFill>
                  <w14:solidFill>
                    <w14:schemeClr w14:val="tx1"/>
                  </w14:solidFill>
                </w14:textFill>
              </w:rPr>
              <w:t>重庆厦美环保科技有限公司</w:t>
            </w:r>
            <w:r>
              <w:rPr>
                <w:rFonts w:hint="default" w:ascii="Times New Roman" w:hAnsi="Times New Roman" w:eastAsia="宋体" w:cs="Times New Roman"/>
                <w:bCs/>
                <w:color w:val="000000" w:themeColor="text1"/>
                <w:sz w:val="26"/>
                <w:szCs w:val="26"/>
                <w:highlight w:val="none"/>
                <w14:textFill>
                  <w14:solidFill>
                    <w14:schemeClr w14:val="tx1"/>
                  </w14:solidFill>
                </w14:textFill>
              </w:rPr>
              <w:t>于202</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highlight w:val="none"/>
                <w14:textFill>
                  <w14:solidFill>
                    <w14:schemeClr w14:val="tx1"/>
                  </w14:solidFill>
                </w14:textFill>
              </w:rPr>
              <w:t>年</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highlight w:val="none"/>
                <w14:textFill>
                  <w14:solidFill>
                    <w14:schemeClr w14:val="tx1"/>
                  </w14:solidFill>
                </w14:textFill>
              </w:rPr>
              <w:t>月1~2日对项目废水、废气、噪声进行了验收监测</w:t>
            </w:r>
            <w:r>
              <w:rPr>
                <w:rFonts w:hint="eastAsia" w:ascii="Times New Roman" w:hAnsi="Times New Roman" w:eastAsia="宋体" w:cs="Times New Roman"/>
                <w:bCs/>
                <w:color w:val="000000" w:themeColor="text1"/>
                <w:sz w:val="26"/>
                <w:szCs w:val="26"/>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因遗漏了氟化物，于</w:t>
            </w:r>
            <w:r>
              <w:rPr>
                <w:rFonts w:hint="default" w:ascii="Times New Roman" w:hAnsi="Times New Roman" w:eastAsia="宋体" w:cs="Times New Roman"/>
                <w:bCs/>
                <w:color w:val="000000" w:themeColor="text1"/>
                <w:sz w:val="26"/>
                <w:szCs w:val="26"/>
                <w:highlight w:val="none"/>
                <w14:textFill>
                  <w14:solidFill>
                    <w14:schemeClr w14:val="tx1"/>
                  </w14:solidFill>
                </w14:textFill>
              </w:rPr>
              <w:t>202</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highlight w:val="none"/>
                <w14:textFill>
                  <w14:solidFill>
                    <w14:schemeClr w14:val="tx1"/>
                  </w14:solidFill>
                </w14:textFill>
              </w:rPr>
              <w:t>年</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z w:val="26"/>
                <w:szCs w:val="26"/>
                <w:highlight w:val="none"/>
                <w14:textFill>
                  <w14:solidFill>
                    <w14:schemeClr w14:val="tx1"/>
                  </w14:solidFill>
                </w14:textFill>
              </w:rPr>
              <w:t>月</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17</w:t>
            </w:r>
            <w:r>
              <w:rPr>
                <w:rFonts w:hint="default" w:ascii="Times New Roman" w:hAnsi="Times New Roman" w:eastAsia="宋体" w:cs="Times New Roman"/>
                <w:bCs/>
                <w:color w:val="000000" w:themeColor="text1"/>
                <w:sz w:val="26"/>
                <w:szCs w:val="26"/>
                <w:highlight w:val="none"/>
                <w14:textFill>
                  <w14:solidFill>
                    <w14:schemeClr w14:val="tx1"/>
                  </w14:solidFill>
                </w14:textFill>
              </w:rPr>
              <w:t>~</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18</w:t>
            </w:r>
            <w:r>
              <w:rPr>
                <w:rFonts w:hint="default" w:ascii="Times New Roman" w:hAnsi="Times New Roman" w:eastAsia="宋体" w:cs="Times New Roman"/>
                <w:bCs/>
                <w:color w:val="000000" w:themeColor="text1"/>
                <w:sz w:val="26"/>
                <w:szCs w:val="26"/>
                <w:highlight w:val="none"/>
                <w14:textFill>
                  <w14:solidFill>
                    <w14:schemeClr w14:val="tx1"/>
                  </w14:solidFill>
                </w14:textFill>
              </w:rPr>
              <w:t>日</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补充监测了废水中的氟化物；本项目年用氢氟酸较少（20L/a），对其他废水影响较小，因此，可单独补测氟化物，不会导致其他废水指标数值失真</w:t>
            </w:r>
            <w:r>
              <w:rPr>
                <w:rFonts w:hint="default" w:ascii="Times New Roman" w:hAnsi="Times New Roman" w:eastAsia="宋体" w:cs="Times New Roman"/>
                <w:bCs/>
                <w:color w:val="000000" w:themeColor="text1"/>
                <w:sz w:val="26"/>
                <w:szCs w:val="26"/>
                <w:highlight w:val="none"/>
                <w14:textFill>
                  <w14:solidFill>
                    <w14:schemeClr w14:val="tx1"/>
                  </w14:solidFill>
                </w14:textFill>
              </w:rPr>
              <w:t>。验收监测期间，项目正常运营，生产负荷达到</w:t>
            </w:r>
            <w:r>
              <w:rPr>
                <w:rFonts w:hint="eastAsia" w:ascii="Times New Roman" w:hAnsi="Times New Roman" w:eastAsia="宋体" w:cs="Times New Roman"/>
                <w:bCs/>
                <w:color w:val="000000" w:themeColor="text1"/>
                <w:sz w:val="26"/>
                <w:szCs w:val="26"/>
                <w:highlight w:val="none"/>
                <w:lang w:val="en-US" w:eastAsia="zh-CN"/>
                <w14:textFill>
                  <w14:solidFill>
                    <w14:schemeClr w14:val="tx1"/>
                  </w14:solidFill>
                </w14:textFill>
              </w:rPr>
              <w:t>75</w:t>
            </w:r>
            <w:r>
              <w:rPr>
                <w:rFonts w:hint="default" w:ascii="Times New Roman" w:hAnsi="Times New Roman" w:eastAsia="宋体" w:cs="Times New Roman"/>
                <w:bCs/>
                <w:color w:val="000000" w:themeColor="text1"/>
                <w:sz w:val="26"/>
                <w:szCs w:val="26"/>
                <w:highlight w:val="none"/>
                <w14:textFill>
                  <w14:solidFill>
                    <w14:schemeClr w14:val="tx1"/>
                  </w14:solidFill>
                </w14:textFill>
              </w:rPr>
              <w:t>%，同时环保设施运行正常，符合验收监测技术规范要求。监测期间生产负荷统计情况详见表7.1-1。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highlight w:val="none"/>
                <w14:textFill>
                  <w14:solidFill>
                    <w14:schemeClr w14:val="tx1"/>
                  </w14:solidFill>
                </w14:textFill>
              </w:rPr>
            </w:pPr>
            <w:r>
              <w:rPr>
                <w:rFonts w:hint="default" w:ascii="Times New Roman" w:hAnsi="Times New Roman" w:eastAsia="宋体" w:cs="Times New Roman"/>
                <w:bCs/>
                <w:color w:val="000000" w:themeColor="text1"/>
                <w:sz w:val="26"/>
                <w:szCs w:val="26"/>
                <w:highlight w:val="none"/>
                <w14:textFill>
                  <w14:solidFill>
                    <w14:schemeClr w14:val="tx1"/>
                  </w14:solidFill>
                </w14:textFill>
              </w:rPr>
              <w:t>表7.1-1   监测工况统计表</w:t>
            </w:r>
          </w:p>
          <w:tbl>
            <w:tblPr>
              <w:tblStyle w:val="14"/>
              <w:tblpPr w:leftFromText="180" w:rightFromText="180"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618"/>
              <w:gridCol w:w="1618"/>
              <w:gridCol w:w="1618"/>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日期</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产品名称</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设计产量</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实际产量</w:t>
                  </w:r>
                </w:p>
              </w:tc>
              <w:tc>
                <w:tcPr>
                  <w:tcW w:w="979"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202</w:t>
                  </w: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2</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X射线管</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支/年</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100支/d</w:t>
                  </w:r>
                </w:p>
              </w:tc>
              <w:tc>
                <w:tcPr>
                  <w:tcW w:w="979"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vertAlign w:val="baseli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202</w:t>
                  </w: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8.17~8.18</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X射线管</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支/年</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100支/d</w:t>
                  </w:r>
                </w:p>
              </w:tc>
              <w:tc>
                <w:tcPr>
                  <w:tcW w:w="979"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t>备注</w:t>
                  </w:r>
                </w:p>
              </w:tc>
              <w:tc>
                <w:tcPr>
                  <w:tcW w:w="3908" w:type="pct"/>
                  <w:gridSpan w:val="4"/>
                  <w:vAlign w:val="center"/>
                </w:tcPr>
                <w:p>
                  <w:pPr>
                    <w:widowControl w:val="0"/>
                    <w:jc w:val="center"/>
                    <w:rPr>
                      <w:rFonts w:hint="default" w:ascii="Times New Roman" w:hAnsi="Times New Roman" w:eastAsia="宋体"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每天工作时间</w:t>
                  </w:r>
                  <w:r>
                    <w:rPr>
                      <w:rFonts w:hint="default" w:ascii="Times New Roman" w:hAnsi="Times New Roman" w:eastAsia="宋体" w:cs="Times New Roman"/>
                      <w:color w:val="000000" w:themeColor="text1"/>
                      <w:sz w:val="22"/>
                      <w:szCs w:val="22"/>
                      <w14:textFill>
                        <w14:solidFill>
                          <w14:schemeClr w14:val="tx1"/>
                        </w14:solidFill>
                      </w14:textFill>
                    </w:rPr>
                    <w:t>为</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h</w:t>
                  </w:r>
                  <w:r>
                    <w:rPr>
                      <w:rFonts w:hint="default" w:ascii="Times New Roman" w:hAnsi="Times New Roman" w:eastAsia="宋体" w:cs="Times New Roman"/>
                      <w:color w:val="000000" w:themeColor="text1"/>
                      <w:sz w:val="22"/>
                      <w:szCs w:val="22"/>
                      <w14:textFill>
                        <w14:solidFill>
                          <w14:schemeClr w14:val="tx1"/>
                        </w14:solidFill>
                      </w14:textFill>
                    </w:rPr>
                    <w:t>，</w:t>
                  </w:r>
                  <w:r>
                    <w:rPr>
                      <w:rFonts w:hint="default" w:ascii="Times New Roman" w:hAnsi="Times New Roman" w:eastAsia="宋体" w:cs="Times New Roman"/>
                      <w:color w:val="000000" w:themeColor="text1"/>
                      <w:sz w:val="22"/>
                      <w:szCs w:val="22"/>
                      <w:lang w:eastAsia="zh-CN"/>
                      <w14:textFill>
                        <w14:solidFill>
                          <w14:schemeClr w14:val="tx1"/>
                        </w14:solidFill>
                      </w14:textFill>
                    </w:rPr>
                    <w:t>全年工作</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30</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0天</w:t>
                  </w:r>
                  <w:r>
                    <w:rPr>
                      <w:rFonts w:hint="default" w:ascii="Times New Roman" w:hAnsi="Times New Roman" w:eastAsia="宋体" w:cs="Times New Roman"/>
                      <w:color w:val="000000" w:themeColor="text1"/>
                      <w:sz w:val="22"/>
                      <w:szCs w:val="22"/>
                      <w14:textFill>
                        <w14:solidFill>
                          <w14:schemeClr w14:val="tx1"/>
                        </w14:solidFill>
                      </w14:textFill>
                    </w:rPr>
                    <w:t>；</w:t>
                  </w:r>
                  <w:r>
                    <w:rPr>
                      <w:rFonts w:hint="default" w:ascii="Times New Roman" w:hAnsi="Times New Roman" w:eastAsia="宋体" w:cs="Times New Roman"/>
                      <w:color w:val="000000" w:themeColor="text1"/>
                      <w:sz w:val="22"/>
                      <w:szCs w:val="22"/>
                      <w:lang w:eastAsia="zh-CN"/>
                      <w14:textFill>
                        <w14:solidFill>
                          <w14:schemeClr w14:val="tx1"/>
                        </w14:solidFill>
                      </w14:textFill>
                    </w:rPr>
                    <w:t>以上信息由该企业提供。</w:t>
                  </w:r>
                </w:p>
              </w:tc>
            </w:tr>
          </w:tbl>
          <w:p>
            <w:pPr>
              <w:spacing w:after="0" w:line="460" w:lineRule="atLeast"/>
              <w:rPr>
                <w:rFonts w:hint="default" w:ascii="Times New Roman" w:hAnsi="Times New Roman" w:eastAsia="宋体"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验收监测结果：</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7.1废水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验收项目废水监测结果详见表7.1-1</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、表7.1-2和表7.1-3</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7.1-1  含镍</w:t>
            </w:r>
            <w:r>
              <w:rPr>
                <w:rFonts w:hint="eastAsia" w:ascii="Times New Roman" w:hAnsi="Times New Roman" w:eastAsia="宋体" w:cs="Times New Roman"/>
                <w:bCs/>
                <w:color w:val="000000" w:themeColor="text1"/>
                <w:sz w:val="26"/>
                <w:szCs w:val="26"/>
                <w:lang w:eastAsia="zh-CN"/>
                <w14:textFill>
                  <w14:solidFill>
                    <w14:schemeClr w14:val="tx1"/>
                  </w14:solidFill>
                </w14:textFill>
              </w:rPr>
              <w:t>废水进口、排口</w:t>
            </w:r>
            <w:r>
              <w:rPr>
                <w:rFonts w:hint="eastAsia"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A1、</w:t>
            </w:r>
            <w:r>
              <w:rPr>
                <w:rFonts w:hint="eastAsia" w:ascii="Times New Roman" w:hAnsi="Times New Roman" w:eastAsia="宋体" w:cs="Times New Roman"/>
                <w:bCs/>
                <w:color w:val="000000" w:themeColor="text1"/>
                <w:sz w:val="26"/>
                <w:szCs w:val="26"/>
                <w14:textFill>
                  <w14:solidFill>
                    <w14:schemeClr w14:val="tx1"/>
                  </w14:solidFill>
                </w14:textFill>
              </w:rPr>
              <w:t>WS1）</w:t>
            </w:r>
            <w:r>
              <w:rPr>
                <w:rFonts w:hint="default" w:ascii="Times New Roman" w:hAnsi="Times New Roman" w:eastAsia="宋体" w:cs="Times New Roman"/>
                <w:bCs/>
                <w:color w:val="000000" w:themeColor="text1"/>
                <w:sz w:val="26"/>
                <w:szCs w:val="26"/>
                <w14:textFill>
                  <w14:solidFill>
                    <w14:schemeClr w14:val="tx1"/>
                  </w14:solidFill>
                </w14:textFill>
              </w:rPr>
              <w:t>检测结果一览表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656"/>
              <w:gridCol w:w="1155"/>
              <w:gridCol w:w="879"/>
              <w:gridCol w:w="693"/>
              <w:gridCol w:w="690"/>
              <w:gridCol w:w="778"/>
              <w:gridCol w:w="700"/>
              <w:gridCol w:w="685"/>
              <w:gridCol w:w="77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采样时间</w:t>
                  </w:r>
                </w:p>
              </w:tc>
              <w:tc>
                <w:tcPr>
                  <w:tcW w:w="3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检测点位</w:t>
                  </w:r>
                </w:p>
              </w:tc>
              <w:tc>
                <w:tcPr>
                  <w:tcW w:w="6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表观</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检测项目</w:t>
                  </w:r>
                </w:p>
              </w:tc>
              <w:tc>
                <w:tcPr>
                  <w:tcW w:w="4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单位</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检出限</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第一次</w:t>
                  </w:r>
                </w:p>
              </w:tc>
              <w:tc>
                <w:tcPr>
                  <w:tcW w:w="42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第二次</w:t>
                  </w:r>
                </w:p>
              </w:tc>
              <w:tc>
                <w:tcPr>
                  <w:tcW w:w="41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第三次</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第四次</w:t>
                  </w:r>
                </w:p>
              </w:tc>
              <w:tc>
                <w:tcPr>
                  <w:tcW w:w="42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w:t>
                  </w:r>
                  <w:r>
                    <w:rPr>
                      <w:rFonts w:hint="eastAsia" w:ascii="Times New Roman" w:hAnsi="Times New Roman" w:eastAsia="宋体" w:cs="Times New Roman"/>
                      <w:color w:val="000000" w:themeColor="text1"/>
                      <w:sz w:val="22"/>
                      <w:szCs w:val="22"/>
                      <w:lang w:eastAsia="zh-CN"/>
                      <w14:textFill>
                        <w14:solidFill>
                          <w14:schemeClr w14:val="tx1"/>
                        </w14:solidFill>
                      </w14:textFill>
                    </w:rPr>
                    <w:t>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w:t>
                  </w:r>
                  <w:r>
                    <w:rPr>
                      <w:rFonts w:hint="eastAsia" w:ascii="Times New Roman" w:hAnsi="Times New Roman" w:eastAsia="宋体" w:cs="Times New Roman"/>
                      <w:color w:val="000000" w:themeColor="text1"/>
                      <w:sz w:val="22"/>
                      <w:szCs w:val="22"/>
                      <w:lang w:eastAsia="zh-CN"/>
                      <w14:textFill>
                        <w14:solidFill>
                          <w14:schemeClr w14:val="tx1"/>
                        </w14:solidFill>
                      </w14:textFill>
                    </w:rPr>
                    <w:t>日</w:t>
                  </w:r>
                </w:p>
              </w:tc>
              <w:tc>
                <w:tcPr>
                  <w:tcW w:w="3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A1（进口）</w:t>
                  </w:r>
                </w:p>
              </w:tc>
              <w:tc>
                <w:tcPr>
                  <w:tcW w:w="6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微黄、微浑、有异味</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mg/L</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8.14</w:t>
                  </w:r>
                </w:p>
              </w:tc>
              <w:tc>
                <w:tcPr>
                  <w:tcW w:w="42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7.99</w:t>
                  </w:r>
                </w:p>
              </w:tc>
              <w:tc>
                <w:tcPr>
                  <w:tcW w:w="41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8.21</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8.21</w:t>
                  </w:r>
                </w:p>
              </w:tc>
              <w:tc>
                <w:tcPr>
                  <w:tcW w:w="42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WS1（排口）</w:t>
                  </w:r>
                </w:p>
              </w:tc>
              <w:tc>
                <w:tcPr>
                  <w:tcW w:w="6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微黄、微浑、有异味</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mg/L</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w:t>
                  </w:r>
                </w:p>
              </w:tc>
              <w:tc>
                <w:tcPr>
                  <w:tcW w:w="42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w:t>
                  </w:r>
                </w:p>
              </w:tc>
              <w:tc>
                <w:tcPr>
                  <w:tcW w:w="41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0.19</w:t>
                  </w:r>
                </w:p>
              </w:tc>
              <w:tc>
                <w:tcPr>
                  <w:tcW w:w="42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w:t>
                  </w:r>
                  <w:r>
                    <w:rPr>
                      <w:rFonts w:hint="eastAsia" w:ascii="Times New Roman" w:hAnsi="Times New Roman" w:eastAsia="宋体" w:cs="Times New Roman"/>
                      <w:color w:val="000000" w:themeColor="text1"/>
                      <w:sz w:val="22"/>
                      <w:szCs w:val="22"/>
                      <w:lang w:eastAsia="zh-CN"/>
                      <w14:textFill>
                        <w14:solidFill>
                          <w14:schemeClr w14:val="tx1"/>
                        </w14:solidFill>
                      </w14:textFill>
                    </w:rPr>
                    <w:t>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w:t>
                  </w:r>
                  <w:r>
                    <w:rPr>
                      <w:rFonts w:hint="eastAsia" w:ascii="Times New Roman" w:hAnsi="Times New Roman" w:eastAsia="宋体" w:cs="Times New Roman"/>
                      <w:color w:val="000000" w:themeColor="text1"/>
                      <w:sz w:val="22"/>
                      <w:szCs w:val="22"/>
                      <w:lang w:eastAsia="zh-CN"/>
                      <w14:textFill>
                        <w14:solidFill>
                          <w14:schemeClr w14:val="tx1"/>
                        </w14:solidFill>
                      </w14:textFill>
                    </w:rPr>
                    <w:t>日</w:t>
                  </w:r>
                </w:p>
              </w:tc>
              <w:tc>
                <w:tcPr>
                  <w:tcW w:w="3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A1（进口）</w:t>
                  </w:r>
                </w:p>
              </w:tc>
              <w:tc>
                <w:tcPr>
                  <w:tcW w:w="6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微黄、微浑、有异味</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mg/L</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8.28</w:t>
                  </w:r>
                </w:p>
              </w:tc>
              <w:tc>
                <w:tcPr>
                  <w:tcW w:w="42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8.35</w:t>
                  </w:r>
                </w:p>
              </w:tc>
              <w:tc>
                <w:tcPr>
                  <w:tcW w:w="41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8.32</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8.50</w:t>
                  </w:r>
                </w:p>
              </w:tc>
              <w:tc>
                <w:tcPr>
                  <w:tcW w:w="42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WS1（排口）</w:t>
                  </w:r>
                </w:p>
              </w:tc>
              <w:tc>
                <w:tcPr>
                  <w:tcW w:w="69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微黄、微浑、有异味</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18"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mg/L</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w:t>
                  </w:r>
                </w:p>
              </w:tc>
              <w:tc>
                <w:tcPr>
                  <w:tcW w:w="42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w:t>
                  </w:r>
                </w:p>
              </w:tc>
              <w:tc>
                <w:tcPr>
                  <w:tcW w:w="41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0.19</w:t>
                  </w:r>
                </w:p>
              </w:tc>
              <w:tc>
                <w:tcPr>
                  <w:tcW w:w="46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w:t>
                  </w:r>
                </w:p>
              </w:tc>
              <w:tc>
                <w:tcPr>
                  <w:tcW w:w="42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参考标准限值</w:t>
                  </w:r>
                </w:p>
              </w:tc>
              <w:tc>
                <w:tcPr>
                  <w:tcW w:w="356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 xml:space="preserve">总镍：0.5 </w:t>
                  </w:r>
                  <w:r>
                    <w:rPr>
                      <w:rFonts w:hint="default" w:ascii="Times New Roman" w:hAnsi="Times New Roman" w:eastAsia="宋体" w:cs="Times New Roman"/>
                      <w:color w:val="000000" w:themeColor="text1"/>
                      <w:sz w:val="22"/>
                      <w:szCs w:val="22"/>
                      <w:lang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参考标准依据</w:t>
                  </w:r>
                </w:p>
              </w:tc>
              <w:tc>
                <w:tcPr>
                  <w:tcW w:w="356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w:t>
                  </w:r>
                  <w:r>
                    <w:rPr>
                      <w:rFonts w:hint="eastAsia" w:ascii="Times New Roman" w:hAnsi="Times New Roman" w:eastAsia="宋体" w:cs="Times New Roman"/>
                      <w:color w:val="000000" w:themeColor="text1"/>
                      <w:sz w:val="22"/>
                      <w:szCs w:val="22"/>
                      <w:lang w:eastAsia="zh-CN"/>
                      <w14:textFill>
                        <w14:solidFill>
                          <w14:schemeClr w14:val="tx1"/>
                        </w14:solidFill>
                      </w14:textFill>
                    </w:rPr>
                    <w:t>电子工业水污染物排放标准</w:t>
                  </w:r>
                  <w:r>
                    <w:rPr>
                      <w:rFonts w:hint="default" w:ascii="Times New Roman" w:hAnsi="Times New Roman" w:eastAsia="宋体" w:cs="Times New Roman"/>
                      <w:color w:val="000000" w:themeColor="text1"/>
                      <w:sz w:val="22"/>
                      <w:szCs w:val="22"/>
                      <w:lang w:eastAsia="zh-CN"/>
                      <w14:textFill>
                        <w14:solidFill>
                          <w14:schemeClr w14:val="tx1"/>
                        </w14:solidFill>
                      </w14:textFill>
                    </w:rPr>
                    <w:t xml:space="preserve">》（GB </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39731-2020</w:t>
                  </w:r>
                  <w:r>
                    <w:rPr>
                      <w:rFonts w:hint="default" w:ascii="Times New Roman" w:hAnsi="Times New Roman" w:eastAsia="宋体" w:cs="Times New Roman"/>
                      <w:color w:val="000000" w:themeColor="text1"/>
                      <w:sz w:val="22"/>
                      <w:szCs w:val="22"/>
                      <w:lang w:eastAsia="zh-CN"/>
                      <w14:textFill>
                        <w14:solidFill>
                          <w14:schemeClr w14:val="tx1"/>
                        </w14:solidFill>
                      </w14:textFill>
                    </w:rPr>
                    <w:t>）表</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检测结论</w:t>
                  </w:r>
                </w:p>
              </w:tc>
              <w:tc>
                <w:tcPr>
                  <w:tcW w:w="356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本次检测，</w:t>
                  </w:r>
                  <w:r>
                    <w:rPr>
                      <w:rFonts w:hint="eastAsia" w:ascii="Times New Roman" w:hAnsi="Times New Roman" w:eastAsia="宋体" w:cs="Times New Roman"/>
                      <w:color w:val="000000" w:themeColor="text1"/>
                      <w:sz w:val="22"/>
                      <w:szCs w:val="22"/>
                      <w:lang w:eastAsia="zh-CN"/>
                      <w14:textFill>
                        <w14:solidFill>
                          <w14:schemeClr w14:val="tx1"/>
                        </w14:solidFill>
                      </w14:textFill>
                    </w:rPr>
                    <w:t>含镍废水排口</w:t>
                  </w:r>
                  <w:r>
                    <w:rPr>
                      <w:rFonts w:hint="default" w:ascii="Times New Roman" w:hAnsi="Times New Roman" w:eastAsia="宋体" w:cs="Times New Roman"/>
                      <w:color w:val="000000" w:themeColor="text1"/>
                      <w:sz w:val="22"/>
                      <w:szCs w:val="22"/>
                      <w:lang w:eastAsia="zh-CN"/>
                      <w14:textFill>
                        <w14:solidFill>
                          <w14:schemeClr w14:val="tx1"/>
                        </w14:solidFill>
                      </w14:textFill>
                    </w:rPr>
                    <w:t>（WS1）</w:t>
                  </w:r>
                  <w:r>
                    <w:rPr>
                      <w:rFonts w:hint="eastAsia" w:ascii="Times New Roman" w:hAnsi="Times New Roman" w:eastAsia="宋体" w:cs="Times New Roman"/>
                      <w:color w:val="000000" w:themeColor="text1"/>
                      <w:sz w:val="22"/>
                      <w:szCs w:val="22"/>
                      <w:lang w:eastAsia="zh-CN"/>
                      <w14:textFill>
                        <w14:solidFill>
                          <w14:schemeClr w14:val="tx1"/>
                        </w14:solidFill>
                      </w14:textFill>
                    </w:rPr>
                    <w:t>：总镍</w:t>
                  </w:r>
                  <w:r>
                    <w:rPr>
                      <w:rFonts w:hint="default" w:ascii="Times New Roman" w:hAnsi="Times New Roman" w:eastAsia="宋体" w:cs="Times New Roman"/>
                      <w:color w:val="000000" w:themeColor="text1"/>
                      <w:sz w:val="22"/>
                      <w:szCs w:val="22"/>
                      <w:lang w:eastAsia="zh-CN"/>
                      <w14:textFill>
                        <w14:solidFill>
                          <w14:schemeClr w14:val="tx1"/>
                        </w14:solidFill>
                      </w14:textFill>
                    </w:rPr>
                    <w:t>的检测结果达标</w:t>
                  </w:r>
                  <w:r>
                    <w:rPr>
                      <w:rFonts w:hint="eastAsia" w:ascii="Times New Roman" w:hAnsi="Times New Roman" w:eastAsia="宋体" w:cs="Times New Roman"/>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eastAsia="zh-CN"/>
                      <w14:textFill>
                        <w14:solidFill>
                          <w14:schemeClr w14:val="tx1"/>
                        </w14:solidFill>
                      </w14:textFill>
                    </w:rPr>
                    <w:t>备注</w:t>
                  </w:r>
                </w:p>
              </w:tc>
              <w:tc>
                <w:tcPr>
                  <w:tcW w:w="356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eastAsia="zh-CN"/>
                      <w14:textFill>
                        <w14:solidFill>
                          <w14:schemeClr w14:val="tx1"/>
                        </w14:solidFill>
                      </w14:textFill>
                    </w:rPr>
                    <w:t>流量</w:t>
                  </w:r>
                  <w:r>
                    <w:rPr>
                      <w:rFonts w:hint="eastAsia" w:ascii="Times New Roman" w:hAnsi="Times New Roman" w:eastAsia="宋体" w:cs="Times New Roman"/>
                      <w:color w:val="000000" w:themeColor="text1"/>
                      <w:sz w:val="22"/>
                      <w:szCs w:val="22"/>
                      <w:lang w:eastAsia="zh-CN"/>
                      <w14:textFill>
                        <w14:solidFill>
                          <w14:schemeClr w14:val="tx1"/>
                        </w14:solidFill>
                      </w14:textFill>
                    </w:rPr>
                    <w:t>：</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w:t>
                  </w:r>
                  <w:r>
                    <w:rPr>
                      <w:rFonts w:hint="default" w:ascii="Times New Roman" w:hAnsi="Times New Roman" w:eastAsia="宋体" w:cs="Times New Roman"/>
                      <w:color w:val="000000" w:themeColor="text1"/>
                      <w:sz w:val="22"/>
                      <w:szCs w:val="22"/>
                      <w:lang w:eastAsia="zh-CN"/>
                      <w14:textFill>
                        <w14:solidFill>
                          <w14:schemeClr w14:val="tx1"/>
                        </w14:solidFill>
                      </w14:textFill>
                    </w:rPr>
                    <w:t>m³/d</w:t>
                  </w:r>
                  <w:r>
                    <w:rPr>
                      <w:rFonts w:hint="eastAsia" w:ascii="Times New Roman" w:hAnsi="Times New Roman" w:eastAsia="宋体" w:cs="Times New Roman"/>
                      <w:color w:val="000000" w:themeColor="text1"/>
                      <w:sz w:val="22"/>
                      <w:szCs w:val="22"/>
                      <w:lang w:eastAsia="zh-CN"/>
                      <w14:textFill>
                        <w14:solidFill>
                          <w14:schemeClr w14:val="tx1"/>
                        </w14:solidFill>
                      </w14:textFill>
                    </w:rPr>
                    <w:t>，</w:t>
                  </w:r>
                  <w:r>
                    <w:rPr>
                      <w:rFonts w:hint="default" w:ascii="Times New Roman" w:hAnsi="Times New Roman" w:eastAsia="宋体" w:cs="Times New Roman"/>
                      <w:color w:val="000000" w:themeColor="text1"/>
                      <w:sz w:val="22"/>
                      <w:szCs w:val="22"/>
                      <w:lang w:eastAsia="zh-CN"/>
                      <w14:textFill>
                        <w14:solidFill>
                          <w14:schemeClr w14:val="tx1"/>
                        </w14:solidFill>
                      </w14:textFill>
                    </w:rPr>
                    <w:t>由</w:t>
                  </w:r>
                  <w:r>
                    <w:rPr>
                      <w:rFonts w:hint="eastAsia" w:ascii="Times New Roman" w:hAnsi="Times New Roman" w:eastAsia="宋体" w:cs="Times New Roman"/>
                      <w:color w:val="000000" w:themeColor="text1"/>
                      <w:sz w:val="22"/>
                      <w:szCs w:val="22"/>
                      <w:lang w:eastAsia="zh-CN"/>
                      <w14:textFill>
                        <w14:solidFill>
                          <w14:schemeClr w14:val="tx1"/>
                        </w14:solidFill>
                      </w14:textFill>
                    </w:rPr>
                    <w:t>委托单位</w:t>
                  </w:r>
                  <w:r>
                    <w:rPr>
                      <w:rFonts w:hint="default" w:ascii="Times New Roman" w:hAnsi="Times New Roman" w:eastAsia="宋体" w:cs="Times New Roman"/>
                      <w:color w:val="000000" w:themeColor="text1"/>
                      <w:sz w:val="22"/>
                      <w:szCs w:val="22"/>
                      <w:lang w:eastAsia="zh-CN"/>
                      <w14:textFill>
                        <w14:solidFill>
                          <w14:schemeClr w14:val="tx1"/>
                        </w14:solidFill>
                      </w14:textFill>
                    </w:rPr>
                    <w:t>提供</w:t>
                  </w:r>
                  <w:r>
                    <w:rPr>
                      <w:rFonts w:hint="eastAsia" w:ascii="Times New Roman" w:hAnsi="Times New Roman" w:eastAsia="宋体" w:cs="Times New Roman"/>
                      <w:color w:val="000000" w:themeColor="text1"/>
                      <w:sz w:val="22"/>
                      <w:szCs w:val="22"/>
                      <w:lang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Cs/>
                <w:color w:val="000000" w:themeColor="text1"/>
                <w:sz w:val="26"/>
                <w:szCs w:val="26"/>
                <w:lang w:eastAsia="zh-CN"/>
                <w14:textFill>
                  <w14:solidFill>
                    <w14:schemeClr w14:val="tx1"/>
                  </w14:solidFill>
                </w14:textFill>
              </w:rPr>
            </w:pPr>
            <w:r>
              <w:rPr>
                <w:rFonts w:hint="eastAsia" w:ascii="Times New Roman" w:hAnsi="Times New Roman" w:eastAsia="宋体" w:cs="Times New Roman"/>
                <w:bCs/>
                <w:color w:val="000000" w:themeColor="text1"/>
                <w:sz w:val="26"/>
                <w:szCs w:val="26"/>
                <w:lang w:eastAsia="zh-CN"/>
                <w14:textFill>
                  <w14:solidFill>
                    <w14:schemeClr w14:val="tx1"/>
                  </w14:solidFill>
                </w14:textFill>
              </w:rPr>
              <w:t>表</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7.1-2  调节池</w:t>
            </w:r>
            <w:r>
              <w:rPr>
                <w:rFonts w:hint="eastAsia" w:ascii="Times New Roman" w:hAnsi="Times New Roman" w:eastAsia="宋体" w:cs="Times New Roman"/>
                <w:bCs/>
                <w:color w:val="000000" w:themeColor="text1"/>
                <w:sz w:val="26"/>
                <w:szCs w:val="26"/>
                <w:lang w:eastAsia="zh-CN"/>
                <w14:textFill>
                  <w14:solidFill>
                    <w14:schemeClr w14:val="tx1"/>
                  </w14:solidFill>
                </w14:textFill>
              </w:rPr>
              <w:t>进口、污水处理站排口（</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A2、</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WS</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w:t>
            </w:r>
            <w:r>
              <w:rPr>
                <w:rFonts w:hint="eastAsia" w:ascii="Times New Roman" w:hAnsi="Times New Roman" w:eastAsia="宋体" w:cs="Times New Roman"/>
                <w:bCs/>
                <w:color w:val="000000" w:themeColor="text1"/>
                <w:sz w:val="26"/>
                <w:szCs w:val="26"/>
                <w:lang w:eastAsia="zh-CN"/>
                <w14:textFill>
                  <w14:solidFill>
                    <w14:schemeClr w14:val="tx1"/>
                  </w14:solidFill>
                </w14:textFill>
              </w:rPr>
              <w:t>）检测结果一览表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03"/>
              <w:gridCol w:w="716"/>
              <w:gridCol w:w="836"/>
              <w:gridCol w:w="773"/>
              <w:gridCol w:w="622"/>
              <w:gridCol w:w="899"/>
              <w:gridCol w:w="829"/>
              <w:gridCol w:w="829"/>
              <w:gridCol w:w="829"/>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采样时间</w:t>
                  </w:r>
                </w:p>
              </w:tc>
              <w:tc>
                <w:tcPr>
                  <w:tcW w:w="42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检测点位</w:t>
                  </w:r>
                </w:p>
              </w:tc>
              <w:tc>
                <w:tcPr>
                  <w:tcW w:w="43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表观</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检测项目</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单位</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检出限</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第一次</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第二次</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第三次</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第四次</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1日</w:t>
                  </w:r>
                </w:p>
              </w:tc>
              <w:tc>
                <w:tcPr>
                  <w:tcW w:w="424"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A2</w:t>
                  </w:r>
                </w:p>
              </w:tc>
              <w:tc>
                <w:tcPr>
                  <w:tcW w:w="43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301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309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321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322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115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120</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25.7</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总铜</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石油类</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0.28</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阴离子表面活性剂</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0.196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17日</w:t>
                  </w:r>
                </w:p>
              </w:tc>
              <w:tc>
                <w:tcPr>
                  <w:tcW w:w="42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A2</w:t>
                  </w:r>
                </w:p>
              </w:tc>
              <w:tc>
                <w:tcPr>
                  <w:tcW w:w="43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氟化物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1.57</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1日</w:t>
                  </w:r>
                </w:p>
              </w:tc>
              <w:tc>
                <w:tcPr>
                  <w:tcW w:w="424"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WS2</w:t>
                  </w:r>
                </w:p>
              </w:tc>
              <w:tc>
                <w:tcPr>
                  <w:tcW w:w="43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7.0</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248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19.7</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20.5</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64.6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63.8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68.3</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总铜</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0.07</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石油类</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阴离子表面活性剂</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0.070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0.088</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17日</w:t>
                  </w:r>
                </w:p>
              </w:tc>
              <w:tc>
                <w:tcPr>
                  <w:tcW w:w="42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WS2</w:t>
                  </w:r>
                </w:p>
              </w:tc>
              <w:tc>
                <w:tcPr>
                  <w:tcW w:w="43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氟化物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1.19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1.24</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2日</w:t>
                  </w:r>
                </w:p>
              </w:tc>
              <w:tc>
                <w:tcPr>
                  <w:tcW w:w="424"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A2</w:t>
                  </w:r>
                </w:p>
              </w:tc>
              <w:tc>
                <w:tcPr>
                  <w:tcW w:w="43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311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331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312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319</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132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25.4</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总铜</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石油类</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阴离子表面活性剂</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0.199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0.190</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7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18日</w:t>
                  </w:r>
                </w:p>
              </w:tc>
              <w:tc>
                <w:tcPr>
                  <w:tcW w:w="42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A2</w:t>
                  </w:r>
                </w:p>
              </w:tc>
              <w:tc>
                <w:tcPr>
                  <w:tcW w:w="43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氟化物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1.45</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2日</w:t>
                  </w:r>
                </w:p>
              </w:tc>
              <w:tc>
                <w:tcPr>
                  <w:tcW w:w="424"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WS2</w:t>
                  </w:r>
                </w:p>
              </w:tc>
              <w:tc>
                <w:tcPr>
                  <w:tcW w:w="430"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6.9</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6.9</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256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93</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95</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20.0</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79.0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73.8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67.4</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80.2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总铜</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0.10</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总镍</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石油类</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0.12</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0.17</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0.15</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阴离子表面活性剂</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0.068</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0.061</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0.086</w:t>
                  </w:r>
                </w:p>
              </w:tc>
              <w:tc>
                <w:tcPr>
                  <w:tcW w:w="50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0.072</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8月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18日</w:t>
                  </w:r>
                </w:p>
              </w:tc>
              <w:tc>
                <w:tcPr>
                  <w:tcW w:w="42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WS2</w:t>
                  </w:r>
                </w:p>
              </w:tc>
              <w:tc>
                <w:tcPr>
                  <w:tcW w:w="43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50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氟化物</w:t>
                  </w:r>
                </w:p>
              </w:tc>
              <w:tc>
                <w:tcPr>
                  <w:tcW w:w="4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37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89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1.14</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1.21</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1.17</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1.28</w:t>
                  </w:r>
                </w:p>
              </w:tc>
              <w:tc>
                <w:tcPr>
                  <w:tcW w:w="801"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参考标准限值</w:t>
                  </w:r>
                </w:p>
              </w:tc>
              <w:tc>
                <w:tcPr>
                  <w:tcW w:w="3871"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pH值：6.0-9.0（无量纲）；化学需氧量：500mg/L；悬浮物：400mg/L；氨氮：45mg/L；五日生化需氧量：300；总铜：2.0mg/L；总镍：0.5mg/L；石油类：20mg/L；阴离子表面活性剂：20mg/L；氟化物20mg/L。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参考标准依据</w:t>
                  </w:r>
                </w:p>
              </w:tc>
              <w:tc>
                <w:tcPr>
                  <w:tcW w:w="3871"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《电子工业水污染物排放标准》（GB 39731-2020）表1间接排放，BOD</w:t>
                  </w:r>
                  <w:r>
                    <w:rPr>
                      <w:rFonts w:hint="eastAsia" w:ascii="Times New Roman" w:hAnsi="Times New Roman" w:eastAsia="宋体" w:cs="Times New Roman"/>
                      <w:color w:val="000000" w:themeColor="text1"/>
                      <w:sz w:val="22"/>
                      <w:szCs w:val="22"/>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执行《污水综合排放标准》(GB 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检测结论</w:t>
                  </w:r>
                </w:p>
              </w:tc>
              <w:tc>
                <w:tcPr>
                  <w:tcW w:w="3871"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本次检测，污水处理站排口（WS2）：pH值、化学需氧量、悬浮物、氨氮、总铜、总镍、石油类、阴离子表面活性剂、氟化物的检测结果均达标。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备注</w:t>
                  </w:r>
                </w:p>
              </w:tc>
              <w:tc>
                <w:tcPr>
                  <w:tcW w:w="3871"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2023.3.1~3.2</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流量</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：4.6</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m³/d</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，2023年8.17~8.18</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流量</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：4.4</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m³/d</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，由委托单位提供。</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eastAsia" w:ascii="Times New Roman" w:hAnsi="Times New Roman" w:eastAsia="宋体" w:cs="Times New Roman"/>
                <w:bCs/>
                <w:color w:val="000000" w:themeColor="text1"/>
                <w:sz w:val="26"/>
                <w:szCs w:val="26"/>
                <w:lang w:eastAsia="zh-CN"/>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7.1-3  园区生化池出口</w:t>
            </w:r>
            <w:r>
              <w:rPr>
                <w:rFonts w:hint="eastAsia" w:ascii="Times New Roman" w:hAnsi="Times New Roman" w:eastAsia="宋体" w:cs="Times New Roman"/>
                <w:bCs/>
                <w:color w:val="000000" w:themeColor="text1"/>
                <w:sz w:val="26"/>
                <w:szCs w:val="26"/>
                <w14:textFill>
                  <w14:solidFill>
                    <w14:schemeClr w14:val="tx1"/>
                  </w14:solidFill>
                </w14:textFill>
              </w:rPr>
              <w:t>（WS</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3</w:t>
            </w:r>
            <w:r>
              <w:rPr>
                <w:rFonts w:hint="eastAsia"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检测结果一览表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658"/>
              <w:gridCol w:w="755"/>
              <w:gridCol w:w="1130"/>
              <w:gridCol w:w="693"/>
              <w:gridCol w:w="712"/>
              <w:gridCol w:w="843"/>
              <w:gridCol w:w="750"/>
              <w:gridCol w:w="718"/>
              <w:gridCol w:w="687"/>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5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采样时间</w:t>
                  </w:r>
                </w:p>
              </w:tc>
              <w:tc>
                <w:tcPr>
                  <w:tcW w:w="399"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检测点位</w:t>
                  </w:r>
                </w:p>
              </w:tc>
              <w:tc>
                <w:tcPr>
                  <w:tcW w:w="45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表观</w:t>
                  </w: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检测项目</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单位</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检出限</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第一次</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第二次</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第三次</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第四次</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7"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1日</w:t>
                  </w:r>
                </w:p>
              </w:tc>
              <w:tc>
                <w:tcPr>
                  <w:tcW w:w="399"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WS3</w:t>
                  </w:r>
                </w:p>
              </w:tc>
              <w:tc>
                <w:tcPr>
                  <w:tcW w:w="457"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微黄、微浑、有异味</w:t>
                  </w: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7.5</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228</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244</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235</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228</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14</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15</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19.9</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19.6</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19.3</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20.1</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55.2</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64.2</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67.6</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62.4</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3月</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2日</w:t>
                  </w:r>
                </w:p>
              </w:tc>
              <w:tc>
                <w:tcPr>
                  <w:tcW w:w="399"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WS3</w:t>
                  </w:r>
                </w:p>
              </w:tc>
              <w:tc>
                <w:tcPr>
                  <w:tcW w:w="457"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微黄、</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微浑、</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有异味</w:t>
                  </w: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无量纲</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7.5</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7.7</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7.6</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化学需氧量</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4</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239</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233</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237</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245</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悬浮物</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16</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17</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0.05</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20.2</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19.4</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19.6</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20.0</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399"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457" w:type="pct"/>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p>
              </w:tc>
              <w:tc>
                <w:tcPr>
                  <w:tcW w:w="68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五日生化</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需氧量</w:t>
                  </w:r>
                </w:p>
              </w:tc>
              <w:tc>
                <w:tcPr>
                  <w:tcW w:w="39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mg/L</w:t>
                  </w:r>
                </w:p>
              </w:tc>
              <w:tc>
                <w:tcPr>
                  <w:tcW w:w="432"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0.5</w:t>
                  </w:r>
                </w:p>
              </w:tc>
              <w:tc>
                <w:tcPr>
                  <w:tcW w:w="510"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65.0</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53.6</w:t>
                  </w:r>
                </w:p>
              </w:tc>
              <w:tc>
                <w:tcPr>
                  <w:tcW w:w="435"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61.0</w:t>
                  </w:r>
                </w:p>
              </w:tc>
              <w:tc>
                <w:tcPr>
                  <w:tcW w:w="41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66.4</w:t>
                  </w:r>
                </w:p>
              </w:tc>
              <w:tc>
                <w:tcPr>
                  <w:tcW w:w="454"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参考标准限值</w:t>
                  </w:r>
                </w:p>
              </w:tc>
              <w:tc>
                <w:tcPr>
                  <w:tcW w:w="378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pH值：6-9（无量纲）；化学需氧量：500mg/L；悬浮物：400mg/L；氨氮：45mg/L；五日生化需氧量：300mg/L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参考标准依据</w:t>
                  </w:r>
                </w:p>
              </w:tc>
              <w:tc>
                <w:tcPr>
                  <w:tcW w:w="378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氨氮执行《污水排入城镇下水道水质标准》（GB/T 31962-2015）表1，其余执行《污水综合排放标准》（GB 8978-1996）表4三级标准。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检测结论</w:t>
                  </w:r>
                </w:p>
              </w:tc>
              <w:tc>
                <w:tcPr>
                  <w:tcW w:w="378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本次检测，园区生化池出口（WS3）：pH值、化学需氧量、悬浮物、氨氮、五日生化需氧量的检测结果均达标。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4" w:type="pct"/>
                  <w:gridSpan w:val="3"/>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备注</w:t>
                  </w:r>
                </w:p>
              </w:tc>
              <w:tc>
                <w:tcPr>
                  <w:tcW w:w="3785" w:type="pct"/>
                  <w:gridSpan w:val="8"/>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lang w:val="en-US" w:eastAsia="zh-CN"/>
                      <w14:textFill>
                        <w14:solidFill>
                          <w14:schemeClr w14:val="tx1"/>
                        </w14:solidFill>
                      </w14:textFill>
                    </w:rPr>
                    <w:t>流量</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：2.16</w:t>
                  </w:r>
                  <w:r>
                    <w:rPr>
                      <w:rFonts w:hint="default" w:ascii="Times New Roman" w:hAnsi="Times New Roman" w:eastAsia="宋体" w:cs="Times New Roman"/>
                      <w:color w:val="000000" w:themeColor="text1"/>
                      <w:sz w:val="22"/>
                      <w:szCs w:val="22"/>
                      <w:lang w:val="en-US" w:eastAsia="zh-CN"/>
                      <w14:textFill>
                        <w14:solidFill>
                          <w14:schemeClr w14:val="tx1"/>
                        </w14:solidFill>
                      </w14:textFill>
                    </w:rPr>
                    <w:t>m³/d</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，由委托单位提供。</w:t>
                  </w:r>
                </w:p>
              </w:tc>
            </w:tr>
          </w:tbl>
          <w:p>
            <w:pPr>
              <w:spacing w:after="0" w:line="460" w:lineRule="atLeast"/>
              <w:ind w:firstLine="520" w:firstLineChars="200"/>
              <w:jc w:val="both"/>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根据上表监测结果表明：验收监测期间，</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含镍废水预处理设施出口总镍浓度限值满足《电子工业水污染物排放标准》（GB 39731-2020）表1间接排放限值要求；污水处理站总排口pH、COD、SS、氨氮、总铜、总镍、石油类、氟化物、LAS、氟化物满足《电子工业水污染物排放标准》（GB 39731-2020）表1间接排放，BOD</w:t>
            </w:r>
            <w:r>
              <w:rPr>
                <w:rFonts w:hint="eastAsia" w:ascii="Times New Roman" w:hAnsi="Times New Roman" w:eastAsia="宋体" w:cs="Times New Roman"/>
                <w:bCs/>
                <w:color w:val="000000" w:themeColor="text1"/>
                <w:sz w:val="26"/>
                <w:szCs w:val="26"/>
                <w:vertAlign w:val="subscript"/>
                <w:lang w:val="en-US" w:eastAsia="zh-CN"/>
                <w14:textFill>
                  <w14:solidFill>
                    <w14:schemeClr w14:val="tx1"/>
                  </w14:solidFill>
                </w14:textFill>
              </w:rPr>
              <w:t>5</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满足《污水综合排放标准》(GB 8978-1996）三级标准限值；</w:t>
            </w:r>
            <w:r>
              <w:rPr>
                <w:rFonts w:hint="default" w:ascii="Times New Roman" w:hAnsi="Times New Roman" w:eastAsia="宋体" w:cs="Times New Roman"/>
                <w:bCs/>
                <w:color w:val="000000" w:themeColor="text1"/>
                <w:sz w:val="26"/>
                <w:szCs w:val="26"/>
                <w14:textFill>
                  <w14:solidFill>
                    <w14:schemeClr w14:val="tx1"/>
                  </w14:solidFill>
                </w14:textFill>
              </w:rPr>
              <w:t>生化池废水排放口pH值、COD、</w:t>
            </w:r>
            <w:r>
              <w:rPr>
                <w:rFonts w:hint="default" w:ascii="Times New Roman" w:hAnsi="Times New Roman" w:eastAsia="宋体" w:cs="Times New Roman"/>
                <w:bCs/>
                <w:color w:val="000000" w:themeColor="text1"/>
                <w:sz w:val="26"/>
                <w:szCs w:val="26"/>
                <w:lang w:val="en-GB"/>
                <w14:textFill>
                  <w14:solidFill>
                    <w14:schemeClr w14:val="tx1"/>
                  </w14:solidFill>
                </w14:textFill>
              </w:rPr>
              <w:t>BOD</w:t>
            </w:r>
            <w:r>
              <w:rPr>
                <w:rFonts w:hint="default" w:ascii="Times New Roman" w:hAnsi="Times New Roman" w:eastAsia="宋体" w:cs="Times New Roman"/>
                <w:bCs/>
                <w:color w:val="000000" w:themeColor="text1"/>
                <w:sz w:val="26"/>
                <w:szCs w:val="26"/>
                <w:vertAlign w:val="subscript"/>
                <w:lang w:val="en-GB"/>
                <w14:textFill>
                  <w14:solidFill>
                    <w14:schemeClr w14:val="tx1"/>
                  </w14:solidFill>
                </w14:textFill>
              </w:rPr>
              <w:t>5</w:t>
            </w:r>
            <w:r>
              <w:rPr>
                <w:rFonts w:hint="default" w:ascii="Times New Roman" w:hAnsi="Times New Roman" w:eastAsia="宋体" w:cs="Times New Roman"/>
                <w:bCs/>
                <w:color w:val="000000" w:themeColor="text1"/>
                <w:sz w:val="26"/>
                <w:szCs w:val="26"/>
                <w14:textFill>
                  <w14:solidFill>
                    <w14:schemeClr w14:val="tx1"/>
                  </w14:solidFill>
                </w14:textFill>
              </w:rPr>
              <w:t>、SS均满足《污水综合排放标准》（GB8978-1996）</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表4中</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三</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级标准限值</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，氨氮满足《污水排入城镇下水道水质标准》（GB/T 31962-2015）表1 B级标准</w:t>
            </w:r>
            <w:r>
              <w:rPr>
                <w:rFonts w:hint="default" w:ascii="Times New Roman" w:hAnsi="Times New Roman" w:eastAsia="宋体" w:cs="Times New Roman"/>
                <w:bCs/>
                <w:color w:val="000000" w:themeColor="text1"/>
                <w:sz w:val="26"/>
                <w:szCs w:val="26"/>
                <w14:textFill>
                  <w14:solidFill>
                    <w14:schemeClr w14:val="tx1"/>
                  </w14:solidFill>
                </w14:textFill>
              </w:rPr>
              <w:t>。根据监测结果表明，项目废水处理设施处理效果较好，可实现达标排放。</w:t>
            </w:r>
          </w:p>
          <w:p>
            <w:pPr>
              <w:spacing w:after="0" w:line="460" w:lineRule="atLeast"/>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7.2废气</w:t>
            </w: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（1）有组织排放废气</w:t>
            </w: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验收项目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造粒</w:t>
            </w:r>
            <w:r>
              <w:rPr>
                <w:rFonts w:hint="default" w:ascii="Times New Roman" w:hAnsi="Times New Roman" w:eastAsia="宋体" w:cs="Times New Roman"/>
                <w:bCs/>
                <w:color w:val="000000" w:themeColor="text1"/>
                <w:sz w:val="24"/>
                <w:szCs w:val="24"/>
                <w14:textFill>
                  <w14:solidFill>
                    <w14:schemeClr w14:val="tx1"/>
                  </w14:solidFill>
                </w14:textFill>
              </w:rPr>
              <w:t>废气监测结果详见表7.2-1。</w:t>
            </w:r>
          </w:p>
          <w:p>
            <w:pPr>
              <w:spacing w:after="0" w:line="460" w:lineRule="atLeast"/>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7.2-1 </w:t>
            </w:r>
            <w:r>
              <w:rPr>
                <w:rFonts w:hint="default" w:ascii="Times New Roman" w:hAnsi="Times New Roman" w:eastAsia="宋体" w:cs="Times New Roman"/>
                <w:bCs/>
                <w:color w:val="000000" w:themeColor="text1"/>
                <w:sz w:val="24"/>
                <w:szCs w:val="24"/>
                <w14:textFill>
                  <w14:solidFill>
                    <w14:schemeClr w14:val="tx1"/>
                  </w14:solidFill>
                </w14:textFill>
              </w:rPr>
              <w:t xml:space="preserve"> </w:t>
            </w:r>
            <w:r>
              <w:rPr>
                <w:rFonts w:hint="default" w:ascii="Times New Roman" w:hAnsi="Times New Roman" w:eastAsia="宋体" w:cs="Times New Roman"/>
                <w:bCs/>
                <w:color w:val="000000" w:themeColor="text1"/>
                <w:sz w:val="24"/>
                <w:szCs w:val="24"/>
                <w:lang w:eastAsia="zh-CN"/>
                <w14:textFill>
                  <w14:solidFill>
                    <w14:schemeClr w14:val="tx1"/>
                  </w14:solidFill>
                </w14:textFill>
              </w:rPr>
              <w:t>配件清洗</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1#排气筒废气进、出口</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D1、</w:t>
            </w:r>
            <w:r>
              <w:rPr>
                <w:rFonts w:hint="default" w:ascii="Times New Roman" w:hAnsi="Times New Roman" w:eastAsia="宋体" w:cs="Times New Roman"/>
                <w:bCs/>
                <w:color w:val="000000" w:themeColor="text1"/>
                <w:sz w:val="24"/>
                <w:szCs w:val="24"/>
                <w14:textFill>
                  <w14:solidFill>
                    <w14:schemeClr w14:val="tx1"/>
                  </w14:solidFill>
                </w14:textFill>
              </w:rPr>
              <w:t>FQ1）检测结果一览表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5"/>
              <w:gridCol w:w="1015"/>
              <w:gridCol w:w="1858"/>
              <w:gridCol w:w="898"/>
              <w:gridCol w:w="1191"/>
              <w:gridCol w:w="129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color w:val="000000"/>
                      <w:spacing w:val="-2"/>
                      <w:w w:val="90"/>
                      <w:kern w:val="0"/>
                      <w:sz w:val="22"/>
                      <w:szCs w:val="22"/>
                      <w:lang w:val="en-US" w:eastAsia="zh-CN" w:bidi="ar-SA"/>
                    </w:rPr>
                  </w:pPr>
                  <w:r>
                    <w:rPr>
                      <w:rFonts w:hint="default" w:ascii="Times New Roman" w:hAnsi="Times New Roman" w:eastAsia="宋体" w:cs="Times New Roman"/>
                      <w:b w:val="0"/>
                      <w:bCs/>
                      <w:color w:val="000000"/>
                      <w:spacing w:val="-2"/>
                      <w:w w:val="90"/>
                      <w:kern w:val="0"/>
                      <w:sz w:val="22"/>
                      <w:szCs w:val="22"/>
                      <w:lang w:val="en-US" w:eastAsia="zh-CN" w:bidi="ar-SA"/>
                    </w:rPr>
                    <w:t>采样时间</w:t>
                  </w:r>
                </w:p>
              </w:tc>
              <w:tc>
                <w:tcPr>
                  <w:tcW w:w="61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color w:val="000000"/>
                      <w:spacing w:val="-2"/>
                      <w:w w:val="90"/>
                      <w:kern w:val="0"/>
                      <w:sz w:val="22"/>
                      <w:szCs w:val="22"/>
                      <w:lang w:val="en-US" w:eastAsia="zh-CN" w:bidi="ar-SA"/>
                    </w:rPr>
                  </w:pPr>
                  <w:r>
                    <w:rPr>
                      <w:rFonts w:hint="default" w:ascii="Times New Roman" w:hAnsi="Times New Roman" w:eastAsia="宋体" w:cs="Times New Roman"/>
                      <w:b w:val="0"/>
                      <w:bCs/>
                      <w:color w:val="000000"/>
                      <w:spacing w:val="-2"/>
                      <w:w w:val="90"/>
                      <w:kern w:val="0"/>
                      <w:sz w:val="22"/>
                      <w:szCs w:val="22"/>
                      <w:lang w:val="en-US" w:eastAsia="zh-CN" w:bidi="ar-SA"/>
                    </w:rPr>
                    <w:t>检测点位</w:t>
                  </w: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color w:val="000000"/>
                      <w:spacing w:val="-2"/>
                      <w:w w:val="90"/>
                      <w:kern w:val="0"/>
                      <w:sz w:val="22"/>
                      <w:szCs w:val="22"/>
                      <w:lang w:val="en-US" w:eastAsia="zh-CN" w:bidi="ar-SA"/>
                    </w:rPr>
                  </w:pPr>
                  <w:r>
                    <w:rPr>
                      <w:rFonts w:hint="default" w:ascii="Times New Roman" w:hAnsi="Times New Roman" w:eastAsia="宋体" w:cs="Times New Roman"/>
                      <w:b w:val="0"/>
                      <w:bCs/>
                      <w:color w:val="000000"/>
                      <w:spacing w:val="-2"/>
                      <w:w w:val="90"/>
                      <w:kern w:val="0"/>
                      <w:sz w:val="22"/>
                      <w:szCs w:val="22"/>
                      <w:lang w:val="en-US" w:eastAsia="zh-CN" w:bidi="ar-SA"/>
                    </w:rPr>
                    <w:t>检测项目</w:t>
                  </w:r>
                </w:p>
              </w:tc>
              <w:tc>
                <w:tcPr>
                  <w:tcW w:w="541"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right="0"/>
                    <w:textAlignment w:val="auto"/>
                    <w:rPr>
                      <w:rFonts w:hint="default" w:ascii="Times New Roman" w:hAnsi="Times New Roman" w:eastAsia="宋体" w:cs="Times New Roman"/>
                      <w:b w:val="0"/>
                      <w:bCs/>
                      <w:kern w:val="0"/>
                      <w:sz w:val="22"/>
                      <w:szCs w:val="22"/>
                    </w:rPr>
                  </w:pPr>
                  <w:r>
                    <w:rPr>
                      <w:rFonts w:hint="default" w:ascii="Times New Roman" w:hAnsi="Times New Roman" w:eastAsia="宋体" w:cs="Times New Roman"/>
                      <w:b w:val="0"/>
                      <w:bCs/>
                      <w:kern w:val="0"/>
                      <w:sz w:val="22"/>
                      <w:szCs w:val="22"/>
                    </w:rPr>
                    <w:t>单位</w:t>
                  </w:r>
                </w:p>
              </w:tc>
              <w:tc>
                <w:tcPr>
                  <w:tcW w:w="718"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right="0"/>
                    <w:textAlignment w:val="auto"/>
                    <w:rPr>
                      <w:rFonts w:hint="default" w:ascii="Times New Roman" w:hAnsi="Times New Roman" w:eastAsia="宋体" w:cs="Times New Roman"/>
                      <w:b w:val="0"/>
                      <w:bCs/>
                      <w:kern w:val="0"/>
                      <w:sz w:val="22"/>
                      <w:szCs w:val="22"/>
                    </w:rPr>
                  </w:pPr>
                  <w:r>
                    <w:rPr>
                      <w:rFonts w:hint="default" w:ascii="Times New Roman" w:hAnsi="Times New Roman" w:eastAsia="宋体" w:cs="Times New Roman"/>
                      <w:b w:val="0"/>
                      <w:bCs/>
                      <w:kern w:val="0"/>
                      <w:sz w:val="22"/>
                      <w:szCs w:val="22"/>
                    </w:rPr>
                    <w:t>第一次</w:t>
                  </w:r>
                </w:p>
              </w:tc>
              <w:tc>
                <w:tcPr>
                  <w:tcW w:w="781"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right="0"/>
                    <w:textAlignment w:val="auto"/>
                    <w:rPr>
                      <w:rFonts w:hint="default" w:ascii="Times New Roman" w:hAnsi="Times New Roman" w:eastAsia="宋体" w:cs="Times New Roman"/>
                      <w:b w:val="0"/>
                      <w:bCs/>
                      <w:kern w:val="0"/>
                      <w:sz w:val="22"/>
                      <w:szCs w:val="22"/>
                    </w:rPr>
                  </w:pPr>
                  <w:r>
                    <w:rPr>
                      <w:rFonts w:hint="default" w:ascii="Times New Roman" w:hAnsi="Times New Roman" w:eastAsia="宋体" w:cs="Times New Roman"/>
                      <w:b w:val="0"/>
                      <w:bCs/>
                      <w:kern w:val="0"/>
                      <w:sz w:val="22"/>
                      <w:szCs w:val="22"/>
                    </w:rPr>
                    <w:t>第二次</w:t>
                  </w:r>
                </w:p>
              </w:tc>
              <w:tc>
                <w:tcPr>
                  <w:tcW w:w="692" w:type="pct"/>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right="0"/>
                    <w:textAlignment w:val="auto"/>
                    <w:rPr>
                      <w:rFonts w:hint="default" w:ascii="Times New Roman" w:hAnsi="Times New Roman" w:eastAsia="宋体" w:cs="Times New Roman"/>
                      <w:b w:val="0"/>
                      <w:bCs/>
                      <w:kern w:val="0"/>
                      <w:sz w:val="22"/>
                      <w:szCs w:val="22"/>
                    </w:rPr>
                  </w:pPr>
                  <w:r>
                    <w:rPr>
                      <w:rFonts w:hint="default" w:ascii="Times New Roman" w:hAnsi="Times New Roman" w:eastAsia="宋体" w:cs="Times New Roman"/>
                      <w:b w:val="0"/>
                      <w:bCs/>
                      <w:kern w:val="0"/>
                      <w:sz w:val="22"/>
                      <w:szCs w:val="22"/>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color w:val="000000"/>
                      <w:sz w:val="22"/>
                      <w:szCs w:val="22"/>
                      <w:lang w:val="en-US" w:eastAsia="zh-CN"/>
                    </w:rPr>
                    <w:t>3月1日</w:t>
                  </w:r>
                </w:p>
              </w:tc>
              <w:tc>
                <w:tcPr>
                  <w:tcW w:w="61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sz w:val="22"/>
                      <w:szCs w:val="22"/>
                      <w:lang w:val="en-US" w:eastAsia="zh-CN"/>
                    </w:rPr>
                    <w:t>D1</w:t>
                  </w:r>
                  <w:r>
                    <w:rPr>
                      <w:rFonts w:hint="eastAsia" w:ascii="Times New Roman" w:hAnsi="Times New Roman" w:eastAsia="宋体" w:cs="Times New Roman"/>
                      <w:sz w:val="22"/>
                      <w:szCs w:val="22"/>
                      <w:lang w:val="en-US" w:eastAsia="zh-CN"/>
                    </w:rPr>
                    <w:t>（进口）</w:t>
                  </w: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20.0</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19.5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1.24×10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1.21×10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1.23×10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0.50</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0.54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19.3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20.0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1.20×10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1.24×10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1.21×10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12.7</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10.5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0.48</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0.42</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4.46</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5.10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61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rPr>
                    <w:t>FQ</w:t>
                  </w: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（排口）</w:t>
                  </w: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16.7</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16.4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1.03×10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1.01×10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1.02×10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1.34×10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1.52</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1.43</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4" w:type="pct"/>
                  <w:vMerge w:val="continue"/>
                  <w:noWrap w:val="0"/>
                  <w:vAlign w:val="top"/>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N</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N</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color w:val="auto"/>
                      <w:kern w:val="2"/>
                      <w:sz w:val="22"/>
                      <w:szCs w:val="22"/>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16.6</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17.0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1.02</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1.05</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1.04</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4.02</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4.28</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4.02</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4.28</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4.10</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4.49</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4.82</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1.43</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1.47</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1.46</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0.75</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0.70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0.75</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0.70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kern w:val="2"/>
                      <w:sz w:val="22"/>
                      <w:szCs w:val="22"/>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7.65</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7.35</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6.86</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color w:val="000000"/>
                      <w:sz w:val="22"/>
                      <w:szCs w:val="22"/>
                      <w:lang w:val="en-US" w:eastAsia="zh-CN"/>
                    </w:rPr>
                    <w:t>3月2日</w:t>
                  </w:r>
                </w:p>
              </w:tc>
              <w:tc>
                <w:tcPr>
                  <w:tcW w:w="61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sz w:val="22"/>
                      <w:szCs w:val="22"/>
                      <w:lang w:val="en-US" w:eastAsia="zh-CN"/>
                    </w:rPr>
                    <w:t>D1</w:t>
                  </w:r>
                  <w:r>
                    <w:rPr>
                      <w:rFonts w:hint="eastAsia" w:ascii="Times New Roman" w:hAnsi="Times New Roman" w:eastAsia="宋体" w:cs="Times New Roman"/>
                      <w:sz w:val="22"/>
                      <w:szCs w:val="22"/>
                      <w:lang w:val="en-US" w:eastAsia="zh-CN"/>
                    </w:rPr>
                    <w:t>（进口）</w:t>
                  </w: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19.6</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19.6</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1.22</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1.21</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1.25</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sz w:val="22"/>
                      <w:szCs w:val="22"/>
                      <w:lang w:val="en-US" w:eastAsia="zh-CN"/>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sz w:val="22"/>
                      <w:szCs w:val="22"/>
                      <w:lang w:val="en-US" w:eastAsia="zh-CN"/>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sz w:val="22"/>
                      <w:szCs w:val="22"/>
                      <w:lang w:val="en-US" w:eastAsia="zh-CN"/>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0.56</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19.2</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19.4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1.19</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1.20</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1.22</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0.51</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10.6</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11.3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4.78</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4.91</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p>
              </w:tc>
              <w:tc>
                <w:tcPr>
                  <w:tcW w:w="61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FQ</w:t>
                  </w:r>
                  <w:r>
                    <w:rPr>
                      <w:rFonts w:hint="default"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val="en-US" w:eastAsia="zh-CN"/>
                    </w:rPr>
                    <w:t>（排口）</w:t>
                  </w: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16.5</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16.7</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1.02</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1.03</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1.04</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0.14</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氟化物</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1.43</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1.34</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1.25</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氮氧化物</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N</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N</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流速</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m/s</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16.0</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流量</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vertAlign w:val="superscript"/>
                    </w:rPr>
                    <w:t>3</w:t>
                  </w:r>
                  <w:r>
                    <w:rPr>
                      <w:rFonts w:hint="default" w:ascii="Times New Roman" w:hAnsi="Times New Roman" w:eastAsia="宋体" w:cs="Times New Roman"/>
                      <w:sz w:val="22"/>
                      <w:szCs w:val="22"/>
                    </w:rPr>
                    <w:t>/h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9.94</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1.01</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1.02</w:t>
                  </w:r>
                  <w:r>
                    <w:rPr>
                      <w:rFonts w:hint="default" w:ascii="Times New Roman" w:hAnsi="Times New Roman" w:eastAsia="宋体" w:cs="Times New Roman"/>
                      <w:sz w:val="22"/>
                      <w:szCs w:val="22"/>
                      <w:lang w:val="en-US" w:eastAsia="zh-CN"/>
                    </w:rPr>
                    <w:t>×10</w:t>
                  </w:r>
                  <w:r>
                    <w:rPr>
                      <w:rFonts w:hint="default" w:ascii="Times New Roman" w:hAnsi="Times New Roman" w:eastAsia="宋体" w:cs="Times New Roman"/>
                      <w:sz w:val="22"/>
                      <w:szCs w:val="22"/>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4.37</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4.48</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4.37</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4.48</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氯化氢</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4.34</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4.52</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5.21</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0.15</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0.15</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0.15</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硫酸雾</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1.49</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1.52</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1.63</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实测浓度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0.79</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0.70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排放浓度</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mg/m</w:t>
                  </w:r>
                  <w:r>
                    <w:rPr>
                      <w:rFonts w:hint="default" w:ascii="Times New Roman" w:hAnsi="Times New Roman" w:eastAsia="宋体" w:cs="Times New Roman"/>
                      <w:sz w:val="22"/>
                      <w:szCs w:val="22"/>
                      <w:vertAlign w:val="superscript"/>
                    </w:rPr>
                    <w:t>3</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0.79</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0.70</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534" w:type="pct"/>
                  <w:vMerge w:val="continue"/>
                  <w:noWrap w:val="0"/>
                  <w:vAlign w:val="center"/>
                </w:tcPr>
                <w:p>
                  <w:pPr>
                    <w:pStyle w:val="55"/>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eastAsia="宋体" w:cs="Times New Roman"/>
                      <w:sz w:val="22"/>
                      <w:szCs w:val="22"/>
                    </w:rPr>
                  </w:pPr>
                </w:p>
              </w:tc>
              <w:tc>
                <w:tcPr>
                  <w:tcW w:w="61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p>
              </w:tc>
              <w:tc>
                <w:tcPr>
                  <w:tcW w:w="112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lang w:eastAsia="zh-CN"/>
                    </w:rPr>
                    <w:t>非甲烷总烃</w:t>
                  </w:r>
                  <w:r>
                    <w:rPr>
                      <w:rFonts w:hint="default" w:ascii="Times New Roman" w:hAnsi="Times New Roman" w:eastAsia="宋体" w:cs="Times New Roman"/>
                      <w:sz w:val="22"/>
                      <w:szCs w:val="22"/>
                    </w:rPr>
                    <w:t>排放速率</w:t>
                  </w:r>
                </w:p>
              </w:tc>
              <w:tc>
                <w:tcPr>
                  <w:tcW w:w="54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z w:val="22"/>
                      <w:szCs w:val="22"/>
                    </w:rPr>
                    <w:t>kg/h</w:t>
                  </w:r>
                </w:p>
              </w:tc>
              <w:tc>
                <w:tcPr>
                  <w:tcW w:w="718"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7.85</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781"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7.07</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c>
                <w:tcPr>
                  <w:tcW w:w="6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6.83</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114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参考标准限值</w:t>
                  </w:r>
                </w:p>
              </w:tc>
              <w:tc>
                <w:tcPr>
                  <w:tcW w:w="3853"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氯化氢：</w:t>
                  </w:r>
                  <w:r>
                    <w:rPr>
                      <w:rFonts w:hint="eastAsia" w:ascii="Times New Roman" w:hAnsi="Times New Roman" w:eastAsia="宋体" w:cs="Times New Roman"/>
                      <w:sz w:val="22"/>
                      <w:szCs w:val="22"/>
                      <w:lang w:val="en-US" w:eastAsia="zh-CN"/>
                    </w:rPr>
                    <w:t>100</w:t>
                  </w:r>
                  <w:r>
                    <w:rPr>
                      <w:rFonts w:hint="eastAsia" w:ascii="Times New Roman" w:hAnsi="Times New Roman" w:eastAsia="宋体" w:cs="Times New Roman"/>
                      <w:sz w:val="22"/>
                      <w:szCs w:val="22"/>
                      <w:lang w:eastAsia="zh-CN"/>
                    </w:rPr>
                    <w:t>mg/m</w:t>
                  </w:r>
                  <w:r>
                    <w:rPr>
                      <w:rFonts w:hint="eastAsia" w:ascii="Times New Roman" w:hAnsi="Times New Roman" w:eastAsia="宋体" w:cs="Times New Roman"/>
                      <w:sz w:val="22"/>
                      <w:szCs w:val="22"/>
                      <w:vertAlign w:val="superscript"/>
                      <w:lang w:eastAsia="zh-CN"/>
                    </w:rPr>
                    <w:t>3</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 xml:space="preserve">1.4 </w:t>
                  </w:r>
                  <w:r>
                    <w:rPr>
                      <w:rFonts w:hint="eastAsia" w:ascii="Times New Roman" w:hAnsi="Times New Roman" w:eastAsia="宋体" w:cs="Times New Roman"/>
                      <w:sz w:val="22"/>
                      <w:szCs w:val="22"/>
                      <w:lang w:eastAsia="zh-CN"/>
                    </w:rPr>
                    <w:t>kg/h；硫酸雾：</w:t>
                  </w:r>
                  <w:r>
                    <w:rPr>
                      <w:rFonts w:hint="eastAsia" w:ascii="Times New Roman" w:hAnsi="Times New Roman" w:eastAsia="宋体" w:cs="Times New Roman"/>
                      <w:sz w:val="22"/>
                      <w:szCs w:val="22"/>
                      <w:lang w:val="en-US" w:eastAsia="zh-CN"/>
                    </w:rPr>
                    <w:t>45</w:t>
                  </w:r>
                  <w:r>
                    <w:rPr>
                      <w:rFonts w:hint="eastAsia" w:ascii="Times New Roman" w:hAnsi="Times New Roman" w:eastAsia="宋体" w:cs="Times New Roman"/>
                      <w:sz w:val="22"/>
                      <w:szCs w:val="22"/>
                      <w:lang w:eastAsia="zh-CN"/>
                    </w:rPr>
                    <w:t>mg/m</w:t>
                  </w:r>
                  <w:r>
                    <w:rPr>
                      <w:rFonts w:hint="eastAsia" w:ascii="Times New Roman" w:hAnsi="Times New Roman" w:eastAsia="宋体" w:cs="Times New Roman"/>
                      <w:sz w:val="22"/>
                      <w:szCs w:val="22"/>
                      <w:vertAlign w:val="superscript"/>
                      <w:lang w:eastAsia="zh-CN"/>
                    </w:rPr>
                    <w:t>3</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 xml:space="preserve">8.8 </w:t>
                  </w:r>
                  <w:r>
                    <w:rPr>
                      <w:rFonts w:hint="eastAsia" w:ascii="Times New Roman" w:hAnsi="Times New Roman" w:eastAsia="宋体" w:cs="Times New Roman"/>
                      <w:sz w:val="22"/>
                      <w:szCs w:val="22"/>
                      <w:lang w:eastAsia="zh-CN"/>
                    </w:rPr>
                    <w:t>kg/h；</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氟化物：</w:t>
                  </w:r>
                  <w:r>
                    <w:rPr>
                      <w:rFonts w:hint="eastAsia" w:ascii="Times New Roman" w:hAnsi="Times New Roman" w:eastAsia="宋体" w:cs="Times New Roman"/>
                      <w:sz w:val="22"/>
                      <w:szCs w:val="22"/>
                      <w:lang w:val="en-US" w:eastAsia="zh-CN"/>
                    </w:rPr>
                    <w:t>9</w:t>
                  </w:r>
                  <w:r>
                    <w:rPr>
                      <w:rFonts w:hint="eastAsia" w:ascii="Times New Roman" w:hAnsi="Times New Roman" w:eastAsia="宋体" w:cs="Times New Roman"/>
                      <w:sz w:val="22"/>
                      <w:szCs w:val="22"/>
                      <w:lang w:eastAsia="zh-CN"/>
                    </w:rPr>
                    <w:t>mg/m</w:t>
                  </w:r>
                  <w:r>
                    <w:rPr>
                      <w:rFonts w:hint="eastAsia" w:ascii="Times New Roman" w:hAnsi="Times New Roman" w:eastAsia="宋体" w:cs="Times New Roman"/>
                      <w:sz w:val="22"/>
                      <w:szCs w:val="22"/>
                      <w:vertAlign w:val="superscript"/>
                      <w:lang w:eastAsia="zh-CN"/>
                    </w:rPr>
                    <w:t>3</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0.59</w:t>
                  </w:r>
                  <w:r>
                    <w:rPr>
                      <w:rFonts w:hint="eastAsia" w:ascii="Times New Roman" w:hAnsi="Times New Roman" w:eastAsia="宋体" w:cs="Times New Roman"/>
                      <w:sz w:val="22"/>
                      <w:szCs w:val="22"/>
                      <w:lang w:eastAsia="zh-CN"/>
                    </w:rPr>
                    <w:t>kg/h；氮氧化物：</w:t>
                  </w:r>
                  <w:r>
                    <w:rPr>
                      <w:rFonts w:hint="eastAsia" w:ascii="Times New Roman" w:hAnsi="Times New Roman" w:eastAsia="宋体" w:cs="Times New Roman"/>
                      <w:sz w:val="22"/>
                      <w:szCs w:val="22"/>
                      <w:lang w:val="en-US" w:eastAsia="zh-CN"/>
                    </w:rPr>
                    <w:t xml:space="preserve">200 </w:t>
                  </w:r>
                  <w:r>
                    <w:rPr>
                      <w:rFonts w:hint="eastAsia" w:ascii="Times New Roman" w:hAnsi="Times New Roman" w:eastAsia="宋体" w:cs="Times New Roman"/>
                      <w:sz w:val="22"/>
                      <w:szCs w:val="22"/>
                      <w:lang w:eastAsia="zh-CN"/>
                    </w:rPr>
                    <w:t>mg/m</w:t>
                  </w:r>
                  <w:r>
                    <w:rPr>
                      <w:rFonts w:hint="eastAsia" w:ascii="Times New Roman" w:hAnsi="Times New Roman" w:eastAsia="宋体" w:cs="Times New Roman"/>
                      <w:sz w:val="22"/>
                      <w:szCs w:val="22"/>
                      <w:vertAlign w:val="superscript"/>
                      <w:lang w:eastAsia="zh-CN"/>
                    </w:rPr>
                    <w:t>3</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 xml:space="preserve">1.2 </w:t>
                  </w:r>
                  <w:r>
                    <w:rPr>
                      <w:rFonts w:hint="eastAsia" w:ascii="Times New Roman" w:hAnsi="Times New Roman" w:eastAsia="宋体" w:cs="Times New Roman"/>
                      <w:sz w:val="22"/>
                      <w:szCs w:val="22"/>
                      <w:lang w:eastAsia="zh-CN"/>
                    </w:rPr>
                    <w:t>kg/h；</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eastAsia="zh-CN"/>
                    </w:rPr>
                    <w:t>非甲烷总烃：</w:t>
                  </w:r>
                  <w:r>
                    <w:rPr>
                      <w:rFonts w:hint="eastAsia" w:ascii="Times New Roman" w:hAnsi="Times New Roman" w:eastAsia="宋体" w:cs="Times New Roman"/>
                      <w:sz w:val="22"/>
                      <w:szCs w:val="22"/>
                      <w:lang w:val="en-US" w:eastAsia="zh-CN"/>
                    </w:rPr>
                    <w:t xml:space="preserve">120 </w:t>
                  </w:r>
                  <w:r>
                    <w:rPr>
                      <w:rFonts w:hint="eastAsia" w:ascii="Times New Roman" w:hAnsi="Times New Roman" w:eastAsia="宋体" w:cs="Times New Roman"/>
                      <w:sz w:val="22"/>
                      <w:szCs w:val="22"/>
                      <w:lang w:eastAsia="zh-CN"/>
                    </w:rPr>
                    <w:t>mg/m</w:t>
                  </w:r>
                  <w:r>
                    <w:rPr>
                      <w:rFonts w:hint="eastAsia" w:ascii="Times New Roman" w:hAnsi="Times New Roman" w:eastAsia="宋体" w:cs="Times New Roman"/>
                      <w:sz w:val="22"/>
                      <w:szCs w:val="22"/>
                      <w:vertAlign w:val="superscript"/>
                      <w:lang w:eastAsia="zh-CN"/>
                    </w:rPr>
                    <w:t>3</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53</w:t>
                  </w:r>
                  <w:r>
                    <w:rPr>
                      <w:rFonts w:hint="eastAsia" w:ascii="Times New Roman" w:hAnsi="Times New Roman" w:eastAsia="宋体" w:cs="Times New Roman"/>
                      <w:sz w:val="22"/>
                      <w:szCs w:val="22"/>
                      <w:lang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114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参考标准依据</w:t>
                  </w:r>
                </w:p>
              </w:tc>
              <w:tc>
                <w:tcPr>
                  <w:tcW w:w="3853"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w:t>
                  </w:r>
                  <w:r>
                    <w:rPr>
                      <w:rFonts w:hint="eastAsia" w:ascii="Times New Roman" w:hAnsi="Times New Roman" w:eastAsia="宋体" w:cs="Times New Roman"/>
                      <w:sz w:val="22"/>
                      <w:szCs w:val="22"/>
                      <w:lang w:eastAsia="zh-CN"/>
                    </w:rPr>
                    <w:t>大气污染物综合排放标准</w:t>
                  </w:r>
                  <w:r>
                    <w:rPr>
                      <w:rFonts w:hint="default" w:ascii="Times New Roman" w:hAnsi="Times New Roman" w:eastAsia="宋体" w:cs="Times New Roman"/>
                      <w:sz w:val="22"/>
                      <w:szCs w:val="22"/>
                      <w:lang w:eastAsia="zh-CN"/>
                    </w:rPr>
                    <w:t>》（</w:t>
                  </w:r>
                  <w:r>
                    <w:rPr>
                      <w:rFonts w:hint="eastAsia" w:ascii="Times New Roman" w:hAnsi="Times New Roman" w:eastAsia="宋体" w:cs="Times New Roman"/>
                      <w:sz w:val="22"/>
                      <w:szCs w:val="22"/>
                      <w:lang w:val="en-US" w:eastAsia="zh-CN"/>
                    </w:rPr>
                    <w:t>DB 50/418-2016</w:t>
                  </w:r>
                  <w:r>
                    <w:rPr>
                      <w:rFonts w:hint="default" w:ascii="Times New Roman" w:hAnsi="Times New Roman" w:eastAsia="宋体" w:cs="Times New Roman"/>
                      <w:sz w:val="22"/>
                      <w:szCs w:val="22"/>
                      <w:lang w:eastAsia="zh-CN"/>
                    </w:rPr>
                    <w:t>）</w:t>
                  </w:r>
                  <w:r>
                    <w:rPr>
                      <w:rFonts w:hint="eastAsia" w:ascii="Times New Roman" w:hAnsi="Times New Roman" w:eastAsia="宋体" w:cs="Times New Roman"/>
                      <w:sz w:val="22"/>
                      <w:szCs w:val="22"/>
                      <w:lang w:eastAsia="zh-CN"/>
                    </w:rPr>
                    <w:t>表</w:t>
                  </w:r>
                  <w:r>
                    <w:rPr>
                      <w:rFonts w:hint="eastAsia" w:ascii="Times New Roman" w:hAnsi="Times New Roman" w:eastAsia="宋体" w:cs="Times New Roman"/>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114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检测结论</w:t>
                  </w:r>
                </w:p>
              </w:tc>
              <w:tc>
                <w:tcPr>
                  <w:tcW w:w="3853"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本次检测，配件清洗</w:t>
                  </w:r>
                  <w:r>
                    <w:rPr>
                      <w:rFonts w:hint="eastAsia" w:ascii="Times New Roman" w:hAnsi="Times New Roman" w:eastAsia="宋体" w:cs="Times New Roman"/>
                      <w:sz w:val="22"/>
                      <w:szCs w:val="22"/>
                      <w:lang w:val="en-US" w:eastAsia="zh-CN"/>
                    </w:rPr>
                    <w:t>1#排气筒废气出口</w:t>
                  </w:r>
                  <w:r>
                    <w:rPr>
                      <w:rFonts w:hint="eastAsia" w:ascii="Times New Roman" w:hAnsi="Times New Roman" w:eastAsia="宋体" w:cs="Times New Roman"/>
                      <w:sz w:val="22"/>
                      <w:szCs w:val="22"/>
                      <w:lang w:eastAsia="zh-CN"/>
                    </w:rPr>
                    <w:t>（FQ1）：氯化氢、硫酸雾、氟化物、氮氧化物、非甲烷总烃的检测结果均达标。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1146"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备注</w:t>
                  </w:r>
                </w:p>
              </w:tc>
              <w:tc>
                <w:tcPr>
                  <w:tcW w:w="3853" w:type="pct"/>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“L”表示未检出，检测结果以检出限加“L”表示，</w:t>
                  </w: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lang w:val="en-US" w:eastAsia="zh-CN"/>
                    </w:rPr>
                    <w:t>N</w:t>
                  </w: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lang w:val="en-US" w:eastAsia="zh-CN"/>
                    </w:rPr>
                    <w:t>表示无排放速率</w:t>
                  </w:r>
                  <w:r>
                    <w:rPr>
                      <w:rFonts w:hint="eastAsia" w:ascii="Times New Roman" w:hAnsi="Times New Roman" w:eastAsia="宋体" w:cs="Times New Roman"/>
                      <w:sz w:val="22"/>
                      <w:szCs w:val="22"/>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根据上表监测结果表明：验收监测期间，</w:t>
            </w:r>
            <w:r>
              <w:rPr>
                <w:rFonts w:hint="default" w:ascii="Times New Roman" w:hAnsi="Times New Roman" w:eastAsia="宋体" w:cs="Times New Roman"/>
                <w:bCs/>
                <w:color w:val="000000" w:themeColor="text1"/>
                <w:sz w:val="26"/>
                <w:szCs w:val="26"/>
                <w:lang w:eastAsia="zh-CN"/>
                <w14:textFill>
                  <w14:solidFill>
                    <w14:schemeClr w14:val="tx1"/>
                  </w14:solidFill>
                </w14:textFill>
              </w:rPr>
              <w:t>配件清洗</w:t>
            </w:r>
            <w:r>
              <w:rPr>
                <w:rFonts w:hint="default" w:ascii="Times New Roman" w:hAnsi="Times New Roman" w:eastAsia="宋体" w:cs="Times New Roman"/>
                <w:bCs/>
                <w:color w:val="000000" w:themeColor="text1"/>
                <w:sz w:val="26"/>
                <w:szCs w:val="26"/>
                <w14:textFill>
                  <w14:solidFill>
                    <w14:schemeClr w14:val="tx1"/>
                  </w14:solidFill>
                </w14:textFill>
              </w:rPr>
              <w:t>废气排放口</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氯化氢、硫酸雾、氟化物、氮氧化物、非甲烷总烃</w:t>
            </w:r>
            <w:r>
              <w:rPr>
                <w:rFonts w:hint="default" w:ascii="Times New Roman" w:hAnsi="Times New Roman" w:eastAsia="宋体" w:cs="Times New Roman"/>
                <w:bCs/>
                <w:color w:val="000000" w:themeColor="text1"/>
                <w:sz w:val="26"/>
                <w:szCs w:val="26"/>
                <w14:textFill>
                  <w14:solidFill>
                    <w14:schemeClr w14:val="tx1"/>
                  </w14:solidFill>
                </w14:textFill>
              </w:rPr>
              <w:t>排放浓度</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和排放速率均</w:t>
            </w:r>
            <w:r>
              <w:rPr>
                <w:rFonts w:hint="default" w:ascii="Times New Roman" w:hAnsi="Times New Roman" w:eastAsia="宋体" w:cs="Times New Roman"/>
                <w:bCs/>
                <w:color w:val="000000" w:themeColor="text1"/>
                <w:sz w:val="26"/>
                <w:szCs w:val="26"/>
                <w14:textFill>
                  <w14:solidFill>
                    <w14:schemeClr w14:val="tx1"/>
                  </w14:solidFill>
                </w14:textFill>
              </w:rPr>
              <w:t>满足</w:t>
            </w:r>
            <w:r>
              <w:rPr>
                <w:rFonts w:hint="default" w:ascii="Times New Roman" w:hAnsi="Times New Roman" w:eastAsia="宋体" w:cs="Times New Roman"/>
                <w:bCs/>
                <w:color w:val="000000" w:themeColor="text1"/>
                <w:sz w:val="26"/>
                <w:szCs w:val="26"/>
                <w:lang w:eastAsia="zh-CN"/>
                <w14:textFill>
                  <w14:solidFill>
                    <w14:schemeClr w14:val="tx1"/>
                  </w14:solidFill>
                </w14:textFill>
              </w:rPr>
              <w:t>《大气污染物综合排放标准》（</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DB 50/418-2016</w:t>
            </w:r>
            <w:r>
              <w:rPr>
                <w:rFonts w:hint="default" w:ascii="Times New Roman" w:hAnsi="Times New Roman" w:eastAsia="宋体" w:cs="Times New Roman"/>
                <w:bCs/>
                <w:color w:val="000000" w:themeColor="text1"/>
                <w:sz w:val="26"/>
                <w:szCs w:val="26"/>
                <w:lang w:eastAsia="zh-CN"/>
                <w14:textFill>
                  <w14:solidFill>
                    <w14:schemeClr w14:val="tx1"/>
                  </w14:solidFill>
                </w14:textFill>
              </w:rPr>
              <w:t>）表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1限值</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（2）无组织排放废气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验收项目无组织排放废气监测结果详见表7.2-2。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表7.2-2   验收项目无组织排放废气监测结果一览表</w:t>
            </w:r>
          </w:p>
          <w:tbl>
            <w:tblPr>
              <w:tblStyle w:val="13"/>
              <w:tblW w:w="4996" w:type="pct"/>
              <w:jc w:val="center"/>
              <w:tblLayout w:type="autofit"/>
              <w:tblCellMar>
                <w:top w:w="0" w:type="dxa"/>
                <w:left w:w="108" w:type="dxa"/>
                <w:bottom w:w="0" w:type="dxa"/>
                <w:right w:w="108" w:type="dxa"/>
              </w:tblCellMar>
            </w:tblPr>
            <w:tblGrid>
              <w:gridCol w:w="525"/>
              <w:gridCol w:w="517"/>
              <w:gridCol w:w="776"/>
              <w:gridCol w:w="796"/>
              <w:gridCol w:w="796"/>
              <w:gridCol w:w="956"/>
              <w:gridCol w:w="890"/>
              <w:gridCol w:w="1197"/>
              <w:gridCol w:w="986"/>
              <w:gridCol w:w="860"/>
            </w:tblGrid>
            <w:tr>
              <w:tblPrEx>
                <w:tblCellMar>
                  <w:top w:w="0" w:type="dxa"/>
                  <w:left w:w="108" w:type="dxa"/>
                  <w:bottom w:w="0" w:type="dxa"/>
                  <w:right w:w="108" w:type="dxa"/>
                </w:tblCellMar>
              </w:tblPrEx>
              <w:trPr>
                <w:trHeight w:val="454" w:hRule="atLeast"/>
                <w:jc w:val="center"/>
              </w:trPr>
              <w:tc>
                <w:tcPr>
                  <w:tcW w:w="3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采样</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时间</w:t>
                  </w:r>
                </w:p>
              </w:tc>
              <w:tc>
                <w:tcPr>
                  <w:tcW w:w="32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检测</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点位</w:t>
                  </w:r>
                </w:p>
              </w:tc>
              <w:tc>
                <w:tcPr>
                  <w:tcW w:w="48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检测</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频次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氯化氢</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硫酸雾</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氟化物</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氮氧化物</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总悬浮颗粒物</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二氧化硫</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非甲烷总烃</w:t>
                  </w:r>
                </w:p>
              </w:tc>
            </w:tr>
            <w:tr>
              <w:tblPrEx>
                <w:tblCellMar>
                  <w:top w:w="0" w:type="dxa"/>
                  <w:left w:w="108" w:type="dxa"/>
                  <w:bottom w:w="0" w:type="dxa"/>
                  <w:right w:w="108" w:type="dxa"/>
                </w:tblCellMar>
              </w:tblPrEx>
              <w:trPr>
                <w:trHeight w:val="454"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mg/m³</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mg/m³</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mg/m³</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mg/m³</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mg/m³</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mg/m³</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mg/m³</w:t>
                  </w:r>
                </w:p>
              </w:tc>
            </w:tr>
            <w:tr>
              <w:tblPrEx>
                <w:tblCellMar>
                  <w:top w:w="0" w:type="dxa"/>
                  <w:left w:w="108" w:type="dxa"/>
                  <w:bottom w:w="0" w:type="dxa"/>
                  <w:right w:w="108" w:type="dxa"/>
                </w:tblCellMar>
              </w:tblPrEx>
              <w:trPr>
                <w:trHeight w:val="454" w:hRule="atLeast"/>
                <w:jc w:val="center"/>
              </w:trPr>
              <w:tc>
                <w:tcPr>
                  <w:tcW w:w="329"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3</w:t>
                  </w:r>
                  <w:r>
                    <w:rPr>
                      <w:rFonts w:hint="eastAsia" w:ascii="Times New Roman" w:hAnsi="Times New Roman" w:eastAsia="宋体" w:cs="Times New Roman"/>
                      <w:sz w:val="22"/>
                      <w:szCs w:val="22"/>
                      <w:lang w:eastAsia="zh-CN"/>
                    </w:rPr>
                    <w:t>月</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1</w:t>
                  </w:r>
                  <w:r>
                    <w:rPr>
                      <w:rFonts w:hint="eastAsia" w:ascii="Times New Roman" w:hAnsi="Times New Roman" w:eastAsia="宋体" w:cs="Times New Roman"/>
                      <w:sz w:val="22"/>
                      <w:szCs w:val="22"/>
                      <w:lang w:eastAsia="zh-CN"/>
                    </w:rPr>
                    <w:t>日</w:t>
                  </w:r>
                </w:p>
              </w:tc>
              <w:tc>
                <w:tcPr>
                  <w:tcW w:w="324"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B1</w:t>
                  </w:r>
                </w:p>
              </w:tc>
              <w:tc>
                <w:tcPr>
                  <w:tcW w:w="4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第一次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0.099</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0.054</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0.041</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0.202</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0.010</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0.46</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第二次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0.077</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0.055</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0.040</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0.232</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0.011</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0.46</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第三次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0.087</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0.050</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0.046</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0.261</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0.012</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0.45</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restart"/>
                  <w:tcBorders>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B</w:t>
                  </w:r>
                  <w:r>
                    <w:rPr>
                      <w:rFonts w:hint="eastAsia" w:ascii="Times New Roman" w:hAnsi="Times New Roman" w:eastAsia="宋体" w:cs="Times New Roman"/>
                      <w:sz w:val="22"/>
                      <w:szCs w:val="22"/>
                      <w:lang w:val="en-US" w:eastAsia="zh-CN"/>
                    </w:rPr>
                    <w:t>2</w:t>
                  </w:r>
                </w:p>
              </w:tc>
              <w:tc>
                <w:tcPr>
                  <w:tcW w:w="4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第一次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0.127</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0.039</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0.037</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0.243</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0.016</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0.41</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第二次</w:t>
                  </w:r>
                </w:p>
              </w:tc>
              <w:tc>
                <w:tcPr>
                  <w:tcW w:w="437"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0.119</w:t>
                  </w:r>
                </w:p>
              </w:tc>
              <w:tc>
                <w:tcPr>
                  <w:tcW w:w="42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0.027</w:t>
                  </w:r>
                </w:p>
              </w:tc>
              <w:tc>
                <w:tcPr>
                  <w:tcW w:w="580"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0.039</w:t>
                  </w:r>
                </w:p>
              </w:tc>
              <w:tc>
                <w:tcPr>
                  <w:tcW w:w="73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0.291</w:t>
                  </w:r>
                </w:p>
              </w:tc>
              <w:tc>
                <w:tcPr>
                  <w:tcW w:w="606"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0.017</w:t>
                  </w:r>
                </w:p>
              </w:tc>
              <w:tc>
                <w:tcPr>
                  <w:tcW w:w="527"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0.43</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第三次</w:t>
                  </w:r>
                </w:p>
              </w:tc>
              <w:tc>
                <w:tcPr>
                  <w:tcW w:w="437" w:type="pct"/>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0.121</w:t>
                  </w:r>
                </w:p>
              </w:tc>
              <w:tc>
                <w:tcPr>
                  <w:tcW w:w="423"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0.040</w:t>
                  </w:r>
                </w:p>
              </w:tc>
              <w:tc>
                <w:tcPr>
                  <w:tcW w:w="580"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0.035</w:t>
                  </w:r>
                </w:p>
              </w:tc>
              <w:tc>
                <w:tcPr>
                  <w:tcW w:w="733"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0.330</w:t>
                  </w:r>
                </w:p>
              </w:tc>
              <w:tc>
                <w:tcPr>
                  <w:tcW w:w="606"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0.014</w:t>
                  </w:r>
                </w:p>
              </w:tc>
              <w:tc>
                <w:tcPr>
                  <w:tcW w:w="527" w:type="pct"/>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0.42</w:t>
                  </w:r>
                </w:p>
              </w:tc>
            </w:tr>
            <w:tr>
              <w:tblPrEx>
                <w:tblCellMar>
                  <w:top w:w="0" w:type="dxa"/>
                  <w:left w:w="108" w:type="dxa"/>
                  <w:bottom w:w="0" w:type="dxa"/>
                  <w:right w:w="108" w:type="dxa"/>
                </w:tblCellMar>
              </w:tblPrEx>
              <w:trPr>
                <w:trHeight w:val="454" w:hRule="atLeast"/>
                <w:jc w:val="center"/>
              </w:trPr>
              <w:tc>
                <w:tcPr>
                  <w:tcW w:w="32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3</w:t>
                  </w:r>
                  <w:r>
                    <w:rPr>
                      <w:rFonts w:hint="eastAsia" w:ascii="Times New Roman" w:hAnsi="Times New Roman" w:eastAsia="宋体" w:cs="Times New Roman"/>
                      <w:sz w:val="22"/>
                      <w:szCs w:val="22"/>
                      <w:lang w:eastAsia="zh-CN"/>
                    </w:rPr>
                    <w:t>月</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2</w:t>
                  </w:r>
                  <w:r>
                    <w:rPr>
                      <w:rFonts w:hint="eastAsia" w:ascii="Times New Roman" w:hAnsi="Times New Roman" w:eastAsia="宋体" w:cs="Times New Roman"/>
                      <w:sz w:val="22"/>
                      <w:szCs w:val="22"/>
                      <w:lang w:eastAsia="zh-CN"/>
                    </w:rPr>
                    <w:t>日</w:t>
                  </w:r>
                </w:p>
              </w:tc>
              <w:tc>
                <w:tcPr>
                  <w:tcW w:w="32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B1</w:t>
                  </w: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第一次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0.088</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0.054</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0.043</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0.218</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0.011</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0.44</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第二次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0.101</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0.051</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0.046</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0.253</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0.011</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0.42</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第三次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0.113</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0.055</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0.040</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0.283</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0.014</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0.39</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B</w:t>
                  </w:r>
                  <w:r>
                    <w:rPr>
                      <w:rFonts w:hint="eastAsia" w:ascii="Times New Roman" w:hAnsi="Times New Roman" w:eastAsia="宋体" w:cs="Times New Roman"/>
                      <w:sz w:val="22"/>
                      <w:szCs w:val="22"/>
                      <w:lang w:val="en-US" w:eastAsia="zh-CN"/>
                    </w:rPr>
                    <w:t>2</w:t>
                  </w: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第一次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0.129</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0.027</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0.036</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0.234</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0.013</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0.42</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第二次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0.122</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0.040</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0.034</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0.296</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0.017</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0.44</w:t>
                  </w:r>
                </w:p>
              </w:tc>
            </w:tr>
            <w:tr>
              <w:tblPrEx>
                <w:tblCellMar>
                  <w:top w:w="0" w:type="dxa"/>
                  <w:left w:w="108" w:type="dxa"/>
                  <w:bottom w:w="0" w:type="dxa"/>
                  <w:right w:w="108" w:type="dxa"/>
                </w:tblCellMar>
              </w:tblPrEx>
              <w:trPr>
                <w:trHeight w:val="454" w:hRule="atLeast"/>
                <w:jc w:val="center"/>
              </w:trPr>
              <w:tc>
                <w:tcPr>
                  <w:tcW w:w="329"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324" w:type="pct"/>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第三次</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0.133</w:t>
                  </w:r>
                </w:p>
              </w:tc>
              <w:tc>
                <w:tcPr>
                  <w:tcW w:w="4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0.028</w:t>
                  </w:r>
                </w:p>
              </w:tc>
              <w:tc>
                <w:tcPr>
                  <w:tcW w:w="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0.0005L</w:t>
                  </w:r>
                </w:p>
              </w:tc>
              <w:tc>
                <w:tcPr>
                  <w:tcW w:w="5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0.037</w:t>
                  </w:r>
                </w:p>
              </w:tc>
              <w:tc>
                <w:tcPr>
                  <w:tcW w:w="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0.323</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0.015</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0.44</w:t>
                  </w:r>
                </w:p>
              </w:tc>
            </w:tr>
            <w:tr>
              <w:tblPrEx>
                <w:tblCellMar>
                  <w:top w:w="0" w:type="dxa"/>
                  <w:left w:w="108" w:type="dxa"/>
                  <w:bottom w:w="0" w:type="dxa"/>
                  <w:right w:w="108" w:type="dxa"/>
                </w:tblCellMar>
              </w:tblPrEx>
              <w:trPr>
                <w:trHeight w:val="454" w:hRule="atLeast"/>
                <w:jc w:val="center"/>
              </w:trPr>
              <w:tc>
                <w:tcPr>
                  <w:tcW w:w="113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参考标准限值</w:t>
                  </w:r>
                </w:p>
              </w:tc>
              <w:tc>
                <w:tcPr>
                  <w:tcW w:w="3866"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氯化氢：</w:t>
                  </w:r>
                  <w:r>
                    <w:rPr>
                      <w:rFonts w:hint="eastAsia" w:ascii="Times New Roman" w:hAnsi="Times New Roman" w:eastAsia="宋体" w:cs="Times New Roman"/>
                      <w:sz w:val="22"/>
                      <w:szCs w:val="22"/>
                      <w:lang w:val="en-US" w:eastAsia="zh-CN"/>
                    </w:rPr>
                    <w:t>0.2m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；硫酸雾：</w:t>
                  </w:r>
                  <w:r>
                    <w:rPr>
                      <w:rFonts w:hint="eastAsia" w:ascii="Times New Roman" w:hAnsi="Times New Roman" w:eastAsia="宋体" w:cs="Times New Roman"/>
                      <w:sz w:val="22"/>
                      <w:szCs w:val="22"/>
                      <w:lang w:val="en-US" w:eastAsia="zh-CN"/>
                    </w:rPr>
                    <w:t>1.2m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；氟化物：</w:t>
                  </w:r>
                  <w:r>
                    <w:rPr>
                      <w:rFonts w:hint="eastAsia" w:ascii="Times New Roman" w:hAnsi="Times New Roman" w:eastAsia="宋体" w:cs="Times New Roman"/>
                      <w:sz w:val="22"/>
                      <w:szCs w:val="22"/>
                      <w:lang w:val="en-US" w:eastAsia="zh-CN"/>
                    </w:rPr>
                    <w:t>0.02m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氮氧化物：</w:t>
                  </w:r>
                  <w:r>
                    <w:rPr>
                      <w:rFonts w:hint="eastAsia" w:ascii="Times New Roman" w:hAnsi="Times New Roman" w:eastAsia="宋体" w:cs="Times New Roman"/>
                      <w:sz w:val="22"/>
                      <w:szCs w:val="22"/>
                      <w:lang w:val="en-US" w:eastAsia="zh-CN"/>
                    </w:rPr>
                    <w:t>0.12m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；总悬浮颗粒物：</w:t>
                  </w:r>
                  <w:r>
                    <w:rPr>
                      <w:rFonts w:hint="eastAsia" w:ascii="Times New Roman" w:hAnsi="Times New Roman" w:eastAsia="宋体" w:cs="Times New Roman"/>
                      <w:sz w:val="22"/>
                      <w:szCs w:val="22"/>
                      <w:lang w:val="en-US" w:eastAsia="zh-CN"/>
                    </w:rPr>
                    <w:t>1.0m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；二氧化硫：</w:t>
                  </w:r>
                  <w:r>
                    <w:rPr>
                      <w:rFonts w:hint="eastAsia" w:ascii="Times New Roman" w:hAnsi="Times New Roman" w:eastAsia="宋体" w:cs="Times New Roman"/>
                      <w:sz w:val="22"/>
                      <w:szCs w:val="22"/>
                      <w:lang w:val="en-US" w:eastAsia="zh-CN"/>
                    </w:rPr>
                    <w:t>0.40m</w:t>
                  </w:r>
                  <w:r>
                    <w:rPr>
                      <w:rFonts w:hint="default" w:ascii="Times New Roman" w:hAnsi="Times New Roman" w:eastAsia="宋体" w:cs="Times New Roman"/>
                      <w:sz w:val="22"/>
                      <w:szCs w:val="22"/>
                      <w:lang w:eastAsia="zh-CN"/>
                    </w:rPr>
                    <w:t>g/m³</w:t>
                  </w:r>
                  <w:r>
                    <w:rPr>
                      <w:rFonts w:hint="eastAsia" w:ascii="Times New Roman" w:hAnsi="Times New Roman" w:eastAsia="宋体" w:cs="Times New Roman"/>
                      <w:sz w:val="22"/>
                      <w:szCs w:val="22"/>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eastAsia="zh-CN"/>
                    </w:rPr>
                    <w:t>非甲烷总烃：</w:t>
                  </w:r>
                  <w:r>
                    <w:rPr>
                      <w:rFonts w:hint="eastAsia" w:ascii="Times New Roman" w:hAnsi="Times New Roman" w:eastAsia="宋体" w:cs="Times New Roman"/>
                      <w:sz w:val="22"/>
                      <w:szCs w:val="22"/>
                      <w:lang w:val="en-US" w:eastAsia="zh-CN"/>
                    </w:rPr>
                    <w:t>4.0 m</w:t>
                  </w:r>
                  <w:r>
                    <w:rPr>
                      <w:rFonts w:hint="default" w:ascii="Times New Roman" w:hAnsi="Times New Roman" w:eastAsia="宋体" w:cs="Times New Roman"/>
                      <w:sz w:val="22"/>
                      <w:szCs w:val="22"/>
                      <w:lang w:eastAsia="zh-CN"/>
                    </w:rPr>
                    <w:t>g/m³</w:t>
                  </w:r>
                </w:p>
              </w:tc>
            </w:tr>
            <w:tr>
              <w:tblPrEx>
                <w:tblCellMar>
                  <w:top w:w="0" w:type="dxa"/>
                  <w:left w:w="108" w:type="dxa"/>
                  <w:bottom w:w="0" w:type="dxa"/>
                  <w:right w:w="108" w:type="dxa"/>
                </w:tblCellMar>
              </w:tblPrEx>
              <w:trPr>
                <w:trHeight w:val="454" w:hRule="atLeast"/>
                <w:jc w:val="center"/>
              </w:trPr>
              <w:tc>
                <w:tcPr>
                  <w:tcW w:w="113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参考标准依据</w:t>
                  </w:r>
                </w:p>
              </w:tc>
              <w:tc>
                <w:tcPr>
                  <w:tcW w:w="3866"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eastAsia="zh-CN"/>
                    </w:rPr>
                    <w:t>《大气污染物综合排放标准</w:t>
                  </w:r>
                  <w:r>
                    <w:rPr>
                      <w:rFonts w:hint="default" w:ascii="Times New Roman" w:hAnsi="Times New Roman" w:eastAsia="宋体" w:cs="Times New Roman"/>
                      <w:sz w:val="22"/>
                      <w:szCs w:val="22"/>
                      <w:lang w:eastAsia="zh-CN"/>
                    </w:rPr>
                    <w:t>》</w:t>
                  </w:r>
                  <w:r>
                    <w:rPr>
                      <w:rFonts w:hint="eastAsia" w:ascii="Times New Roman" w:hAnsi="Times New Roman" w:eastAsia="宋体" w:cs="Times New Roman"/>
                      <w:sz w:val="22"/>
                      <w:szCs w:val="22"/>
                      <w:lang w:eastAsia="zh-CN"/>
                    </w:rPr>
                    <w:t>（DB</w:t>
                  </w:r>
                  <w:r>
                    <w:rPr>
                      <w:rFonts w:hint="eastAsia" w:ascii="Times New Roman" w:hAnsi="Times New Roman" w:eastAsia="宋体" w:cs="Times New Roman"/>
                      <w:sz w:val="22"/>
                      <w:szCs w:val="22"/>
                      <w:lang w:val="en-US" w:eastAsia="zh-CN"/>
                    </w:rPr>
                    <w:t xml:space="preserve"> 50/418-2016</w:t>
                  </w:r>
                  <w:r>
                    <w:rPr>
                      <w:rFonts w:hint="eastAsia" w:ascii="Times New Roman" w:hAnsi="Times New Roman" w:eastAsia="宋体" w:cs="Times New Roman"/>
                      <w:sz w:val="22"/>
                      <w:szCs w:val="22"/>
                      <w:lang w:eastAsia="zh-CN"/>
                    </w:rPr>
                    <w:t>）表</w:t>
                  </w:r>
                  <w:r>
                    <w:rPr>
                      <w:rFonts w:hint="eastAsia" w:ascii="Times New Roman" w:hAnsi="Times New Roman" w:eastAsia="宋体" w:cs="Times New Roman"/>
                      <w:sz w:val="22"/>
                      <w:szCs w:val="22"/>
                      <w:lang w:val="en-US" w:eastAsia="zh-CN"/>
                    </w:rPr>
                    <w:t>1</w:t>
                  </w:r>
                </w:p>
              </w:tc>
            </w:tr>
            <w:tr>
              <w:tblPrEx>
                <w:tblCellMar>
                  <w:top w:w="0" w:type="dxa"/>
                  <w:left w:w="108" w:type="dxa"/>
                  <w:bottom w:w="0" w:type="dxa"/>
                  <w:right w:w="108" w:type="dxa"/>
                </w:tblCellMar>
              </w:tblPrEx>
              <w:trPr>
                <w:trHeight w:val="454" w:hRule="atLeast"/>
                <w:jc w:val="center"/>
              </w:trPr>
              <w:tc>
                <w:tcPr>
                  <w:tcW w:w="113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检测结论</w:t>
                  </w:r>
                </w:p>
              </w:tc>
              <w:tc>
                <w:tcPr>
                  <w:tcW w:w="3866"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本次检测，无组织废气（B1</w:t>
                  </w: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lang w:eastAsia="zh-CN"/>
                    </w:rPr>
                    <w:t>B</w:t>
                  </w: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eastAsia="zh-CN"/>
                    </w:rPr>
                    <w:t>）：</w:t>
                  </w:r>
                  <w:r>
                    <w:rPr>
                      <w:rFonts w:hint="eastAsia" w:ascii="Times New Roman" w:hAnsi="Times New Roman" w:eastAsia="宋体" w:cs="Times New Roman"/>
                      <w:sz w:val="22"/>
                      <w:szCs w:val="22"/>
                      <w:lang w:eastAsia="zh-CN"/>
                    </w:rPr>
                    <w:t>氯化氢、硫酸雾、氟化物、氮氧化物、总悬浮颗粒物、二氧化硫、非甲烷总烃</w:t>
                  </w:r>
                  <w:r>
                    <w:rPr>
                      <w:rFonts w:hint="default" w:ascii="Times New Roman" w:hAnsi="Times New Roman" w:eastAsia="宋体" w:cs="Times New Roman"/>
                      <w:sz w:val="22"/>
                      <w:szCs w:val="22"/>
                      <w:lang w:eastAsia="zh-CN"/>
                    </w:rPr>
                    <w:t>的检测结果均达标</w:t>
                  </w:r>
                  <w:r>
                    <w:rPr>
                      <w:rFonts w:hint="eastAsia" w:ascii="Times New Roman" w:hAnsi="Times New Roman" w:eastAsia="宋体" w:cs="Times New Roman"/>
                      <w:sz w:val="22"/>
                      <w:szCs w:val="22"/>
                      <w:lang w:eastAsia="zh-CN"/>
                    </w:rPr>
                    <w:t>。</w:t>
                  </w:r>
                </w:p>
              </w:tc>
            </w:tr>
            <w:tr>
              <w:tblPrEx>
                <w:tblCellMar>
                  <w:top w:w="0" w:type="dxa"/>
                  <w:left w:w="108" w:type="dxa"/>
                  <w:bottom w:w="0" w:type="dxa"/>
                  <w:right w:w="108" w:type="dxa"/>
                </w:tblCellMar>
              </w:tblPrEx>
              <w:trPr>
                <w:trHeight w:val="454" w:hRule="atLeast"/>
                <w:jc w:val="center"/>
              </w:trPr>
              <w:tc>
                <w:tcPr>
                  <w:tcW w:w="113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备注</w:t>
                  </w:r>
                </w:p>
              </w:tc>
              <w:tc>
                <w:tcPr>
                  <w:tcW w:w="3866"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“L”表示未检出，检测结果以检出限加“L”表示。</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根据上表监测结果表明：验收监测期间，项目无组织排放废气监测点B1、B2处的</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氯化氢、硫酸雾、氟化物、氮氧化物、</w:t>
            </w:r>
            <w:r>
              <w:rPr>
                <w:rFonts w:hint="default" w:ascii="Times New Roman" w:hAnsi="Times New Roman" w:eastAsia="宋体" w:cs="Times New Roman"/>
                <w:bCs/>
                <w:color w:val="000000" w:themeColor="text1"/>
                <w:sz w:val="26"/>
                <w:szCs w:val="26"/>
                <w:lang w:eastAsia="zh-CN"/>
                <w14:textFill>
                  <w14:solidFill>
                    <w14:schemeClr w14:val="tx1"/>
                  </w14:solidFill>
                </w14:textFill>
              </w:rPr>
              <w:t>非甲烷总烃、</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颗粒物、二氧化硫</w:t>
            </w:r>
            <w:r>
              <w:rPr>
                <w:rFonts w:hint="default" w:ascii="Times New Roman" w:hAnsi="Times New Roman" w:eastAsia="宋体" w:cs="Times New Roman"/>
                <w:bCs/>
                <w:color w:val="000000" w:themeColor="text1"/>
                <w:sz w:val="26"/>
                <w:szCs w:val="26"/>
                <w14:textFill>
                  <w14:solidFill>
                    <w14:schemeClr w14:val="tx1"/>
                  </w14:solidFill>
                </w14:textFill>
              </w:rPr>
              <w:t>最大浓度均满足</w:t>
            </w:r>
            <w:r>
              <w:rPr>
                <w:rFonts w:hint="default" w:ascii="Times New Roman" w:hAnsi="Times New Roman" w:eastAsia="宋体" w:cs="Times New Roman"/>
                <w:bCs/>
                <w:color w:val="000000" w:themeColor="text1"/>
                <w:sz w:val="26"/>
                <w:szCs w:val="26"/>
                <w:lang w:eastAsia="zh-CN"/>
                <w14:textFill>
                  <w14:solidFill>
                    <w14:schemeClr w14:val="tx1"/>
                  </w14:solidFill>
                </w14:textFill>
              </w:rPr>
              <w:t>《大气污染物综合排放标准》（DB</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 xml:space="preserve"> 50/418-2016</w:t>
            </w:r>
            <w:r>
              <w:rPr>
                <w:rFonts w:hint="default" w:ascii="Times New Roman" w:hAnsi="Times New Roman" w:eastAsia="宋体" w:cs="Times New Roman"/>
                <w:bCs/>
                <w:color w:val="000000" w:themeColor="text1"/>
                <w:sz w:val="26"/>
                <w:szCs w:val="26"/>
                <w:lang w:eastAsia="zh-CN"/>
                <w14:textFill>
                  <w14:solidFill>
                    <w14:schemeClr w14:val="tx1"/>
                  </w14:solidFill>
                </w14:textFill>
              </w:rPr>
              <w:t>）表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1限值要求</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7.3厂界噪声</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验收项目噪声监测结果详见表7.3-1。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表7.3-1   验收项目噪声监测结果一览表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64"/>
              <w:gridCol w:w="1072"/>
              <w:gridCol w:w="1052"/>
              <w:gridCol w:w="989"/>
              <w:gridCol w:w="1052"/>
              <w:gridCol w:w="1075"/>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检测</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时间</w:t>
                  </w:r>
                </w:p>
              </w:tc>
              <w:tc>
                <w:tcPr>
                  <w:tcW w:w="64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检测点位</w:t>
                  </w:r>
                </w:p>
              </w:tc>
              <w:tc>
                <w:tcPr>
                  <w:tcW w:w="2512"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检测结果dB(A)</w:t>
                  </w:r>
                </w:p>
              </w:tc>
              <w:tc>
                <w:tcPr>
                  <w:tcW w:w="11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123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w:t>
                  </w:r>
                </w:p>
              </w:tc>
              <w:tc>
                <w:tcPr>
                  <w:tcW w:w="12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w:t>
                  </w:r>
                </w:p>
              </w:tc>
              <w:tc>
                <w:tcPr>
                  <w:tcW w:w="119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测量值</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报出值</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测量值</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报出值</w:t>
                  </w:r>
                </w:p>
              </w:tc>
              <w:tc>
                <w:tcPr>
                  <w:tcW w:w="119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3月1日</w:t>
                  </w: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C1</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58.3</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58</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53.1</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53</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51.6</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47.5</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48</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52.1</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46.4</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46</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3月2日</w:t>
                  </w: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C1</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57.5</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58</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52.8</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53</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52.3</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48.1</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48</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42" w:type="pct"/>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p>
              </w:tc>
              <w:tc>
                <w:tcPr>
                  <w:tcW w:w="6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C</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52.6</w:t>
                  </w:r>
                </w:p>
              </w:tc>
              <w:tc>
                <w:tcPr>
                  <w:tcW w:w="5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47.3</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47</w:t>
                  </w:r>
                </w:p>
              </w:tc>
              <w:tc>
                <w:tcPr>
                  <w:tcW w:w="11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昼间：设备噪声</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88" w:type="pct"/>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参考标准限值</w:t>
                  </w:r>
                </w:p>
              </w:tc>
              <w:tc>
                <w:tcPr>
                  <w:tcW w:w="371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昼间≤</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65</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dB</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，夜间</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55</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88" w:type="pct"/>
                  <w:gridSpan w:val="2"/>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参考标准依据</w:t>
                  </w:r>
                </w:p>
              </w:tc>
              <w:tc>
                <w:tcPr>
                  <w:tcW w:w="371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《工业企业厂界环境噪声排放标准》（GB 12348-2008）</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表1的</w:t>
                  </w: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3</w:t>
                  </w:r>
                  <w: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88"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备注</w:t>
                  </w:r>
                </w:p>
              </w:tc>
              <w:tc>
                <w:tcPr>
                  <w:tcW w:w="371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t>/</w:t>
                  </w:r>
                </w:p>
              </w:tc>
            </w:tr>
          </w:tbl>
          <w:p>
            <w:pPr>
              <w:spacing w:after="0" w:line="460" w:lineRule="atLeast"/>
              <w:ind w:firstLine="520" w:firstLineChars="200"/>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根据上表监测结果表明：验收监测期间，项目厂界噪声监测点昼间噪声均满足《工业企业厂界环境噪声排放标准》（GB12348-2008）中3类标准限值要求，可实现达标排放，对周边环境影响小。</w:t>
            </w: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7.4污染物排放总量核算</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（1）废水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生产废水经自建污水处理设施处理达《电子工业水污染物排放标准》（GB 39731-2020）表1间接标准后排入市政管网，生活污水依托金凤电子信息产业园生化池处理达《污水综合排放标准》（GB 8978-1996）三级标准后排入市政污水管网，生产废水和生活污水再经西永污水处理厂处理达到《城镇污水处理厂污染物排放标准》（GB 18918-2002）一级A标准后排入梁滩河，最终汇入嘉陵江</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根据《建设项目竣工环境保护验收技术指南  污染影响类》（生态环境部公告〔2018〕第9号），若项目废水接入污水处理厂的只核算出纳管量，无需核算排入外环境的总量。故本次验收仅核算废水纳管量。具体见下表。</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项目废水污染物排放总量核算见表7.4-1。</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表7.4-1   项目废水排放总量核算表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133"/>
              <w:gridCol w:w="1252"/>
              <w:gridCol w:w="1266"/>
              <w:gridCol w:w="1540"/>
              <w:gridCol w:w="1613"/>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66"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bookmarkStart w:id="12" w:name="OLE_LINK2"/>
                  <w:bookmarkStart w:id="13" w:name="OLE_LINK1"/>
                  <w:r>
                    <w:rPr>
                      <w:rFonts w:hint="default" w:ascii="Times New Roman" w:hAnsi="Times New Roman" w:eastAsia="宋体" w:cs="Times New Roman"/>
                      <w:color w:val="000000" w:themeColor="text1"/>
                      <w:sz w:val="22"/>
                      <w:szCs w:val="22"/>
                      <w14:textFill>
                        <w14:solidFill>
                          <w14:schemeClr w14:val="tx1"/>
                        </w14:solidFill>
                      </w14:textFill>
                    </w:rPr>
                    <w:t>污染物</w:t>
                  </w:r>
                </w:p>
              </w:tc>
              <w:tc>
                <w:tcPr>
                  <w:tcW w:w="682"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最大</w:t>
                  </w:r>
                  <w:r>
                    <w:rPr>
                      <w:rFonts w:hint="default" w:ascii="Times New Roman" w:hAnsi="Times New Roman" w:eastAsia="宋体" w:cs="Times New Roman"/>
                      <w:color w:val="000000" w:themeColor="text1"/>
                      <w:sz w:val="22"/>
                      <w:szCs w:val="22"/>
                      <w14:textFill>
                        <w14:solidFill>
                          <w14:schemeClr w14:val="tx1"/>
                        </w14:solidFill>
                      </w14:textFill>
                    </w:rPr>
                    <w:t>排放浓度（mg/L）</w:t>
                  </w:r>
                </w:p>
              </w:tc>
              <w:tc>
                <w:tcPr>
                  <w:tcW w:w="755"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废水排放量（t/d）</w:t>
                  </w:r>
                </w:p>
              </w:tc>
              <w:tc>
                <w:tcPr>
                  <w:tcW w:w="763"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年运行时间（d）</w:t>
                  </w:r>
                </w:p>
              </w:tc>
              <w:tc>
                <w:tcPr>
                  <w:tcW w:w="928"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实际纳管量（t/a）</w:t>
                  </w:r>
                </w:p>
              </w:tc>
              <w:tc>
                <w:tcPr>
                  <w:tcW w:w="972"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环评纳管量（t/a）</w:t>
                  </w:r>
                </w:p>
              </w:tc>
              <w:tc>
                <w:tcPr>
                  <w:tcW w:w="432"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28"/>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eastAsia"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总镍</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0.10</w:t>
                  </w:r>
                </w:p>
              </w:tc>
              <w:tc>
                <w:tcPr>
                  <w:tcW w:w="755"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4.6</w:t>
                  </w:r>
                </w:p>
              </w:tc>
              <w:tc>
                <w:tcPr>
                  <w:tcW w:w="763"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300</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0.00014</w:t>
                  </w:r>
                </w:p>
              </w:tc>
              <w:tc>
                <w:tcPr>
                  <w:tcW w:w="97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0.008</w:t>
                  </w:r>
                </w:p>
              </w:tc>
              <w:tc>
                <w:tcPr>
                  <w:tcW w:w="43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COD</w:t>
                  </w:r>
                </w:p>
              </w:tc>
              <w:tc>
                <w:tcPr>
                  <w:tcW w:w="68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269</w:t>
                  </w:r>
                </w:p>
              </w:tc>
              <w:tc>
                <w:tcPr>
                  <w:tcW w:w="755"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4.6</w:t>
                  </w:r>
                </w:p>
              </w:tc>
              <w:tc>
                <w:tcPr>
                  <w:tcW w:w="763"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300</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0.</w:t>
                  </w:r>
                  <w:r>
                    <w:rPr>
                      <w:rFonts w:hint="eastAsia" w:cs="Times New Roman"/>
                      <w:color w:val="000000" w:themeColor="text1"/>
                      <w:sz w:val="22"/>
                      <w:szCs w:val="22"/>
                      <w:lang w:val="en-US" w:eastAsia="zh-CN"/>
                      <w14:textFill>
                        <w14:solidFill>
                          <w14:schemeClr w14:val="tx1"/>
                        </w14:solidFill>
                      </w14:textFill>
                    </w:rPr>
                    <w:t>371</w:t>
                  </w:r>
                </w:p>
              </w:tc>
              <w:tc>
                <w:tcPr>
                  <w:tcW w:w="97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3.200</w:t>
                  </w:r>
                </w:p>
              </w:tc>
              <w:tc>
                <w:tcPr>
                  <w:tcW w:w="432"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氨氮</w:t>
                  </w:r>
                </w:p>
              </w:tc>
              <w:tc>
                <w:tcPr>
                  <w:tcW w:w="68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20.5</w:t>
                  </w:r>
                </w:p>
              </w:tc>
              <w:tc>
                <w:tcPr>
                  <w:tcW w:w="755"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4.6</w:t>
                  </w:r>
                </w:p>
              </w:tc>
              <w:tc>
                <w:tcPr>
                  <w:tcW w:w="763"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300</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0.0</w:t>
                  </w:r>
                  <w:r>
                    <w:rPr>
                      <w:rFonts w:hint="eastAsia" w:cs="Times New Roman"/>
                      <w:color w:val="000000" w:themeColor="text1"/>
                      <w:sz w:val="22"/>
                      <w:szCs w:val="22"/>
                      <w:lang w:val="en-US" w:eastAsia="zh-CN"/>
                      <w14:textFill>
                        <w14:solidFill>
                          <w14:schemeClr w14:val="tx1"/>
                        </w14:solidFill>
                      </w14:textFill>
                    </w:rPr>
                    <w:t>28</w:t>
                  </w:r>
                </w:p>
              </w:tc>
              <w:tc>
                <w:tcPr>
                  <w:tcW w:w="972"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0.545</w:t>
                  </w:r>
                </w:p>
              </w:tc>
              <w:tc>
                <w:tcPr>
                  <w:tcW w:w="432" w:type="pct"/>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COD</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245</w:t>
                  </w:r>
                </w:p>
              </w:tc>
              <w:tc>
                <w:tcPr>
                  <w:tcW w:w="755"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2.16</w:t>
                  </w:r>
                </w:p>
              </w:tc>
              <w:tc>
                <w:tcPr>
                  <w:tcW w:w="763" w:type="pct"/>
                  <w:vAlign w:val="center"/>
                </w:tcPr>
                <w:p>
                  <w:pPr>
                    <w:pStyle w:val="28"/>
                    <w:jc w:val="cente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300</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0.159</w:t>
                  </w:r>
                </w:p>
              </w:tc>
              <w:tc>
                <w:tcPr>
                  <w:tcW w:w="97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0.398</w:t>
                  </w:r>
                </w:p>
              </w:tc>
              <w:tc>
                <w:tcPr>
                  <w:tcW w:w="432"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氨氮</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20.2</w:t>
                  </w:r>
                </w:p>
              </w:tc>
              <w:tc>
                <w:tcPr>
                  <w:tcW w:w="755"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2.16</w:t>
                  </w:r>
                </w:p>
              </w:tc>
              <w:tc>
                <w:tcPr>
                  <w:tcW w:w="763" w:type="pct"/>
                  <w:vAlign w:val="center"/>
                </w:tcPr>
                <w:p>
                  <w:pPr>
                    <w:pStyle w:val="28"/>
                    <w:jc w:val="center"/>
                    <w:rPr>
                      <w:rFonts w:hint="eastAsia"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300</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0.013</w:t>
                  </w:r>
                </w:p>
              </w:tc>
              <w:tc>
                <w:tcPr>
                  <w:tcW w:w="97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0.041</w:t>
                  </w:r>
                </w:p>
              </w:tc>
              <w:tc>
                <w:tcPr>
                  <w:tcW w:w="432"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总镍</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55"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63"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0.00014</w:t>
                  </w:r>
                </w:p>
              </w:tc>
              <w:tc>
                <w:tcPr>
                  <w:tcW w:w="97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0.008</w:t>
                  </w:r>
                </w:p>
              </w:tc>
              <w:tc>
                <w:tcPr>
                  <w:tcW w:w="432"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COD</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55"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63"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0.530</w:t>
                  </w:r>
                </w:p>
              </w:tc>
              <w:tc>
                <w:tcPr>
                  <w:tcW w:w="97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3.598</w:t>
                  </w:r>
                </w:p>
              </w:tc>
              <w:tc>
                <w:tcPr>
                  <w:tcW w:w="432"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28"/>
                    <w:jc w:val="center"/>
                    <w:rPr>
                      <w:rFonts w:hint="default" w:ascii="Times New Roman" w:hAnsi="Times New Roman" w:eastAsia="宋体" w:cs="Times New Roman"/>
                      <w:bCs/>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氨氮</w:t>
                  </w:r>
                </w:p>
              </w:tc>
              <w:tc>
                <w:tcPr>
                  <w:tcW w:w="68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55"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763"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w:t>
                  </w:r>
                </w:p>
              </w:tc>
              <w:tc>
                <w:tcPr>
                  <w:tcW w:w="928" w:type="pct"/>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0.041</w:t>
                  </w:r>
                </w:p>
              </w:tc>
              <w:tc>
                <w:tcPr>
                  <w:tcW w:w="972" w:type="pct"/>
                  <w:vAlign w:val="center"/>
                </w:tcPr>
                <w:p>
                  <w:pPr>
                    <w:pStyle w:val="28"/>
                    <w:jc w:val="center"/>
                    <w:rPr>
                      <w:rFonts w:hint="default"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0.586</w:t>
                  </w:r>
                </w:p>
              </w:tc>
              <w:tc>
                <w:tcPr>
                  <w:tcW w:w="432" w:type="pct"/>
                  <w:vAlign w:val="center"/>
                </w:tcPr>
                <w:p>
                  <w:pPr>
                    <w:pStyle w:val="28"/>
                    <w:jc w:val="center"/>
                    <w:rPr>
                      <w:rFonts w:hint="eastAsia"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符合</w:t>
                  </w:r>
                </w:p>
              </w:tc>
            </w:tr>
            <w:bookmarkEnd w:id="12"/>
            <w:bookmarkEnd w:id="13"/>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经核算，本项目废水污染物排放量均未超过环评批复总量指标要求。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br w:type="page"/>
            </w:r>
            <w:r>
              <w:rPr>
                <w:rFonts w:hint="default" w:ascii="Times New Roman" w:hAnsi="Times New Roman" w:eastAsia="宋体" w:cs="Times New Roman"/>
                <w:bCs/>
                <w:color w:val="000000" w:themeColor="text1"/>
                <w:sz w:val="26"/>
                <w:szCs w:val="26"/>
                <w14:textFill>
                  <w14:solidFill>
                    <w14:schemeClr w14:val="tx1"/>
                  </w14:solidFill>
                </w14:textFill>
              </w:rPr>
              <w:t>（2）废气</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废气排放总量按照各类污染源监测结果中最大排放速率和全年排放时间核算，项目废气污染物排放总量核算见表7.4-2。</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center"/>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表7.4-2   项目废气排放总量核算表</w:t>
            </w:r>
          </w:p>
          <w:tbl>
            <w:tblPr>
              <w:tblStyle w:val="13"/>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1052"/>
              <w:gridCol w:w="987"/>
              <w:gridCol w:w="1174"/>
              <w:gridCol w:w="1168"/>
              <w:gridCol w:w="959"/>
              <w:gridCol w:w="959"/>
              <w:gridCol w:w="8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3" w:type="pct"/>
                  <w:tcBorders>
                    <w:right w:val="single" w:color="auto" w:sz="8"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类别</w:t>
                  </w:r>
                </w:p>
              </w:tc>
              <w:tc>
                <w:tcPr>
                  <w:tcW w:w="634" w:type="pct"/>
                  <w:tcBorders>
                    <w:left w:val="single" w:color="auto" w:sz="8"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污染物</w:t>
                  </w:r>
                </w:p>
              </w:tc>
              <w:tc>
                <w:tcPr>
                  <w:tcW w:w="595" w:type="pct"/>
                  <w:tcBorders>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排放浓度mg/m</w:t>
                  </w:r>
                  <w:r>
                    <w:rPr>
                      <w:rFonts w:hint="default" w:ascii="Times New Roman" w:hAnsi="Times New Roman" w:eastAsia="宋体" w:cs="Times New Roman"/>
                      <w:color w:val="000000" w:themeColor="text1"/>
                      <w:sz w:val="22"/>
                      <w:szCs w:val="22"/>
                      <w:vertAlign w:val="superscript"/>
                      <w14:textFill>
                        <w14:solidFill>
                          <w14:schemeClr w14:val="tx1"/>
                        </w14:solidFill>
                      </w14:textFill>
                    </w:rPr>
                    <w:t>3</w:t>
                  </w:r>
                </w:p>
              </w:tc>
              <w:tc>
                <w:tcPr>
                  <w:tcW w:w="708" w:type="pct"/>
                  <w:tcBorders>
                    <w:left w:val="single" w:color="auto" w:sz="4" w:space="0"/>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排放速率kg/h</w:t>
                  </w:r>
                </w:p>
              </w:tc>
              <w:tc>
                <w:tcPr>
                  <w:tcW w:w="704" w:type="pct"/>
                  <w:tcBorders>
                    <w:left w:val="single" w:color="auto" w:sz="4" w:space="0"/>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年排放时间（h）</w:t>
                  </w:r>
                </w:p>
              </w:tc>
              <w:tc>
                <w:tcPr>
                  <w:tcW w:w="578" w:type="pct"/>
                  <w:tcBorders>
                    <w:left w:val="single" w:color="auto" w:sz="4" w:space="0"/>
                    <w:right w:val="single" w:color="auto" w:sz="8"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实际排放总量t/a</w:t>
                  </w:r>
                </w:p>
              </w:tc>
              <w:tc>
                <w:tcPr>
                  <w:tcW w:w="578" w:type="pct"/>
                  <w:tcBorders>
                    <w:left w:val="single" w:color="auto" w:sz="8" w:space="0"/>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环评总量指标t/a</w:t>
                  </w:r>
                </w:p>
              </w:tc>
              <w:tc>
                <w:tcPr>
                  <w:tcW w:w="535" w:type="pct"/>
                  <w:tcBorders>
                    <w:lef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符合</w:t>
                  </w:r>
                </w:p>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63" w:type="pct"/>
                  <w:tcBorders>
                    <w:right w:val="single" w:color="auto" w:sz="8" w:space="0"/>
                  </w:tcBorders>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配件清洗废气</w:t>
                  </w:r>
                </w:p>
              </w:tc>
              <w:tc>
                <w:tcPr>
                  <w:tcW w:w="634" w:type="pct"/>
                  <w:tcBorders>
                    <w:left w:val="single" w:color="auto" w:sz="8"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非甲烷总烃</w:t>
                  </w:r>
                </w:p>
              </w:tc>
              <w:tc>
                <w:tcPr>
                  <w:tcW w:w="595" w:type="pct"/>
                  <w:tcBorders>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0.79</w:t>
                  </w:r>
                </w:p>
              </w:tc>
              <w:tc>
                <w:tcPr>
                  <w:tcW w:w="708" w:type="pct"/>
                  <w:tcBorders>
                    <w:left w:val="single" w:color="auto" w:sz="4" w:space="0"/>
                    <w:right w:val="single" w:color="auto" w:sz="4" w:space="0"/>
                  </w:tcBorders>
                  <w:vAlign w:val="center"/>
                </w:tcPr>
                <w:p>
                  <w:pPr>
                    <w:pStyle w:val="28"/>
                    <w:jc w:val="center"/>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7.85</w:t>
                  </w:r>
                  <w:r>
                    <w:rPr>
                      <w:rFonts w:hint="default" w:ascii="Times New Roman" w:hAnsi="Times New Roman" w:eastAsia="宋体" w:cs="Times New Roman"/>
                      <w:color w:val="000000" w:themeColor="text1"/>
                      <w:sz w:val="22"/>
                      <w:szCs w:val="22"/>
                      <w14:textFill>
                        <w14:solidFill>
                          <w14:schemeClr w14:val="tx1"/>
                        </w14:solidFill>
                      </w14:textFill>
                    </w:rPr>
                    <w:t>×10</w:t>
                  </w:r>
                  <w:r>
                    <w:rPr>
                      <w:rFonts w:hint="default" w:ascii="Times New Roman" w:hAnsi="Times New Roman" w:eastAsia="宋体" w:cs="Times New Roman"/>
                      <w:color w:val="000000" w:themeColor="text1"/>
                      <w:sz w:val="22"/>
                      <w:szCs w:val="22"/>
                      <w:vertAlign w:val="superscript"/>
                      <w14:textFill>
                        <w14:solidFill>
                          <w14:schemeClr w14:val="tx1"/>
                        </w14:solidFill>
                      </w14:textFill>
                    </w:rPr>
                    <w:t>-</w:t>
                  </w:r>
                  <w:r>
                    <w:rPr>
                      <w:rFonts w:hint="eastAsia" w:cs="Times New Roman"/>
                      <w:color w:val="000000" w:themeColor="text1"/>
                      <w:sz w:val="22"/>
                      <w:szCs w:val="22"/>
                      <w:vertAlign w:val="superscript"/>
                      <w:lang w:val="en-US" w:eastAsia="zh-CN"/>
                      <w14:textFill>
                        <w14:solidFill>
                          <w14:schemeClr w14:val="tx1"/>
                        </w14:solidFill>
                      </w14:textFill>
                    </w:rPr>
                    <w:t>3</w:t>
                  </w:r>
                </w:p>
              </w:tc>
              <w:tc>
                <w:tcPr>
                  <w:tcW w:w="704" w:type="pct"/>
                  <w:tcBorders>
                    <w:left w:val="single" w:color="auto" w:sz="4" w:space="0"/>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3600</w:t>
                  </w:r>
                </w:p>
              </w:tc>
              <w:tc>
                <w:tcPr>
                  <w:tcW w:w="578" w:type="pct"/>
                  <w:tcBorders>
                    <w:left w:val="single" w:color="auto" w:sz="4" w:space="0"/>
                    <w:right w:val="single" w:color="auto" w:sz="8" w:space="0"/>
                  </w:tcBorders>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0.0</w:t>
                  </w:r>
                  <w:r>
                    <w:rPr>
                      <w:rFonts w:hint="eastAsia" w:cs="Times New Roman"/>
                      <w:color w:val="000000" w:themeColor="text1"/>
                      <w:sz w:val="22"/>
                      <w:szCs w:val="22"/>
                      <w:lang w:val="en-US" w:eastAsia="zh-CN"/>
                      <w14:textFill>
                        <w14:solidFill>
                          <w14:schemeClr w14:val="tx1"/>
                        </w14:solidFill>
                      </w14:textFill>
                    </w:rPr>
                    <w:t>28</w:t>
                  </w:r>
                </w:p>
              </w:tc>
              <w:tc>
                <w:tcPr>
                  <w:tcW w:w="578" w:type="pct"/>
                  <w:tcBorders>
                    <w:left w:val="single" w:color="auto" w:sz="8" w:space="0"/>
                    <w:right w:val="single" w:color="auto" w:sz="4" w:space="0"/>
                  </w:tcBorders>
                  <w:vAlign w:val="center"/>
                </w:tcPr>
                <w:p>
                  <w:pPr>
                    <w:pStyle w:val="28"/>
                    <w:jc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0.0</w:t>
                  </w:r>
                  <w:r>
                    <w:rPr>
                      <w:rFonts w:hint="eastAsia" w:cs="Times New Roman"/>
                      <w:color w:val="000000" w:themeColor="text1"/>
                      <w:sz w:val="22"/>
                      <w:szCs w:val="22"/>
                      <w:lang w:val="en-US" w:eastAsia="zh-CN"/>
                      <w14:textFill>
                        <w14:solidFill>
                          <w14:schemeClr w14:val="tx1"/>
                        </w14:solidFill>
                      </w14:textFill>
                    </w:rPr>
                    <w:t>93</w:t>
                  </w:r>
                </w:p>
              </w:tc>
              <w:tc>
                <w:tcPr>
                  <w:tcW w:w="535" w:type="pct"/>
                  <w:tcBorders>
                    <w:left w:val="single" w:color="auto" w:sz="4" w:space="0"/>
                  </w:tcBorders>
                  <w:vAlign w:val="center"/>
                </w:tcPr>
                <w:p>
                  <w:pPr>
                    <w:pStyle w:val="28"/>
                    <w:jc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符合</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经核算，项目非甲烷总烃年排放总量未超过环评批复总量指标要求。</w:t>
            </w: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spacing w:after="0" w:line="460" w:lineRule="atLeast"/>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p>
          <w:p>
            <w:pPr>
              <w:pStyle w:val="19"/>
              <w:rPr>
                <w:rFonts w:hint="default" w:ascii="Times New Roman" w:hAnsi="Times New Roman" w:eastAsia="宋体" w:cs="Times New Roman"/>
                <w:bCs/>
                <w:color w:val="000000" w:themeColor="text1"/>
                <w:sz w:val="24"/>
                <w:szCs w:val="24"/>
                <w14:textFill>
                  <w14:solidFill>
                    <w14:schemeClr w14:val="tx1"/>
                  </w14:solidFill>
                </w14:textFill>
              </w:rPr>
            </w:pPr>
          </w:p>
          <w:p>
            <w:pPr>
              <w:pStyle w:val="19"/>
              <w:rPr>
                <w:rFonts w:hint="default" w:ascii="Times New Roman" w:hAnsi="Times New Roman" w:eastAsia="宋体" w:cs="Times New Roman"/>
                <w:bCs/>
                <w:color w:val="000000" w:themeColor="text1"/>
                <w:sz w:val="24"/>
                <w:szCs w:val="24"/>
                <w14:textFill>
                  <w14:solidFill>
                    <w14:schemeClr w14:val="tx1"/>
                  </w14:solidFill>
                </w14:textFill>
              </w:rPr>
            </w:pPr>
          </w:p>
          <w:p>
            <w:pPr>
              <w:spacing w:before="48" w:beforeLines="20" w:line="460" w:lineRule="atLeast"/>
              <w:rPr>
                <w:rFonts w:hint="default" w:ascii="Times New Roman" w:hAnsi="Times New Roman" w:eastAsia="宋体" w:cs="Times New Roman"/>
                <w:color w:val="000000" w:themeColor="text1"/>
                <w:sz w:val="24"/>
                <w:szCs w:val="24"/>
                <w14:textFill>
                  <w14:solidFill>
                    <w14:schemeClr w14:val="tx1"/>
                  </w14:solidFill>
                </w14:textFill>
              </w:rPr>
            </w:pPr>
          </w:p>
        </w:tc>
      </w:tr>
    </w:tbl>
    <w:p>
      <w:pPr>
        <w:spacing w:after="0" w:line="460" w:lineRule="atLeast"/>
        <w:rPr>
          <w:rFonts w:hint="default" w:ascii="Times New Roman" w:hAnsi="Times New Roman" w:eastAsia="宋体" w:cs="Times New Roman"/>
          <w:b/>
          <w:color w:val="000000" w:themeColor="text1"/>
          <w:sz w:val="24"/>
          <w:szCs w:val="24"/>
          <w14:textFill>
            <w14:solidFill>
              <w14:schemeClr w14:val="tx1"/>
            </w14:solidFill>
          </w14:textFill>
        </w:rPr>
        <w:sectPr>
          <w:pgSz w:w="11906" w:h="16838"/>
          <w:pgMar w:top="1440" w:right="1800" w:bottom="1440" w:left="1800" w:header="708" w:footer="708" w:gutter="0"/>
          <w:cols w:space="720" w:num="1"/>
          <w:docGrid w:linePitch="360" w:charSpace="0"/>
        </w:sectPr>
      </w:pPr>
    </w:p>
    <w:p>
      <w:pPr>
        <w:pStyle w:val="37"/>
        <w:ind w:right="-286"/>
        <w:jc w:val="left"/>
        <w:rPr>
          <w:rFonts w:hint="default" w:ascii="Times New Roman" w:hAnsi="Times New Roman" w:eastAsia="宋体" w:cs="Times New Roman"/>
          <w:color w:val="000000" w:themeColor="text1"/>
          <w14:textFill>
            <w14:solidFill>
              <w14:schemeClr w14:val="tx1"/>
            </w14:solidFill>
          </w14:textFill>
        </w:rPr>
      </w:pPr>
      <w:bookmarkStart w:id="27" w:name="_GoBack"/>
      <w:bookmarkEnd w:id="27"/>
      <w:r>
        <w:rPr>
          <w:rFonts w:hint="default" w:ascii="Times New Roman" w:hAnsi="Times New Roman" w:eastAsia="宋体" w:cs="Times New Roman"/>
          <w:color w:val="000000" w:themeColor="text1"/>
          <w14:textFill>
            <w14:solidFill>
              <w14:schemeClr w14:val="tx1"/>
            </w14:solidFill>
          </w14:textFill>
        </w:rPr>
        <w:t>表八</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8924" w:type="dxa"/>
          </w:tcPr>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验收监测结论：</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14" w:name="_Toc512518755"/>
            <w:r>
              <w:rPr>
                <w:rFonts w:hint="default" w:ascii="Times New Roman" w:hAnsi="Times New Roman" w:eastAsia="宋体" w:cs="Times New Roman"/>
                <w:b/>
                <w:color w:val="000000" w:themeColor="text1"/>
                <w:sz w:val="26"/>
                <w:szCs w:val="26"/>
                <w14:textFill>
                  <w14:solidFill>
                    <w14:schemeClr w14:val="tx1"/>
                  </w14:solidFill>
                </w14:textFill>
              </w:rPr>
              <w:t>8.1验收项目概况</w:t>
            </w:r>
            <w:bookmarkEnd w:id="14"/>
          </w:p>
          <w:p>
            <w:pPr>
              <w:pStyle w:val="34"/>
              <w:keepNext w:val="0"/>
              <w:keepLines w:val="0"/>
              <w:pageBreakBefore w:val="0"/>
              <w:kinsoku/>
              <w:wordWrap/>
              <w:overflowPunct/>
              <w:topLinePunct w:val="0"/>
              <w:autoSpaceDE/>
              <w:autoSpaceDN/>
              <w:bidi w:val="0"/>
              <w:adjustRightInd w:val="0"/>
              <w:spacing w:after="0"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eastAsia" w:cs="Times New Roman"/>
                <w:color w:val="000000" w:themeColor="text1"/>
                <w:sz w:val="26"/>
                <w:szCs w:val="26"/>
                <w:lang w:eastAsia="zh-CN"/>
                <w14:textFill>
                  <w14:solidFill>
                    <w14:schemeClr w14:val="tx1"/>
                  </w14:solidFill>
                </w14:textFill>
              </w:rPr>
              <w:t>重庆信合启越科技有限公司</w:t>
            </w:r>
            <w:r>
              <w:rPr>
                <w:rFonts w:hint="default" w:ascii="Times New Roman" w:hAnsi="Times New Roman" w:cs="Times New Roman"/>
                <w:color w:val="000000" w:themeColor="text1"/>
                <w:sz w:val="26"/>
                <w:szCs w:val="26"/>
                <w:lang w:eastAsia="zh-CN"/>
                <w14:textFill>
                  <w14:solidFill>
                    <w14:schemeClr w14:val="tx1"/>
                  </w14:solidFill>
                </w14:textFill>
              </w:rPr>
              <w:t>选址于</w:t>
            </w:r>
            <w:r>
              <w:rPr>
                <w:rFonts w:hint="eastAsia" w:cs="Times New Roman"/>
                <w:color w:val="000000" w:themeColor="text1"/>
                <w:sz w:val="26"/>
                <w:szCs w:val="26"/>
                <w:lang w:eastAsia="zh-CN"/>
                <w14:textFill>
                  <w14:solidFill>
                    <w14:schemeClr w14:val="tx1"/>
                  </w14:solidFill>
                </w14:textFill>
              </w:rPr>
              <w:t>重庆高新区重庆金凤电子信息产业有限公司二期标准厂房10号楼</w:t>
            </w:r>
            <w:r>
              <w:rPr>
                <w:rFonts w:hint="default" w:ascii="Times New Roman" w:hAnsi="Times New Roman" w:cs="Times New Roman"/>
                <w:color w:val="000000" w:themeColor="text1"/>
                <w:sz w:val="26"/>
                <w:szCs w:val="26"/>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本次验收为“</w:t>
            </w:r>
            <w:r>
              <w:rPr>
                <w:rFonts w:hint="eastAsia" w:cs="Times New Roman"/>
                <w:bCs/>
                <w:color w:val="000000" w:themeColor="text1"/>
                <w:sz w:val="26"/>
                <w:szCs w:val="26"/>
                <w:lang w:eastAsia="zh-CN"/>
                <w14:textFill>
                  <w14:solidFill>
                    <w14:schemeClr w14:val="tx1"/>
                  </w14:solidFill>
                </w14:textFill>
              </w:rPr>
              <w:t>X射线管生产扩建项目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实际建设内容为</w:t>
            </w:r>
            <w:r>
              <w:rPr>
                <w:rFonts w:hint="default" w:ascii="Times New Roman" w:hAnsi="Times New Roman" w:eastAsia="宋体" w:cs="Times New Roman"/>
                <w:color w:val="000000" w:themeColor="text1"/>
                <w:sz w:val="26"/>
                <w:szCs w:val="26"/>
                <w14:textFill>
                  <w14:solidFill>
                    <w14:schemeClr w14:val="tx1"/>
                  </w14:solidFill>
                </w14:textFill>
              </w:rPr>
              <w:t>租赁</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金凤电子信息产业园二期标准厂房10号楼第1层部分</w:t>
            </w:r>
            <w:r>
              <w:rPr>
                <w:rFonts w:hint="default" w:ascii="Times New Roman" w:hAnsi="Times New Roman" w:eastAsia="宋体" w:cs="Times New Roman"/>
                <w:color w:val="000000" w:themeColor="text1"/>
                <w:sz w:val="26"/>
                <w:szCs w:val="26"/>
                <w14:textFill>
                  <w14:solidFill>
                    <w14:schemeClr w14:val="tx1"/>
                  </w14:solidFill>
                </w14:textFill>
              </w:rPr>
              <w:t>进行建设，</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租赁</w:t>
            </w:r>
            <w:r>
              <w:rPr>
                <w:rFonts w:hint="default" w:ascii="Times New Roman" w:hAnsi="Times New Roman" w:eastAsia="宋体" w:cs="Times New Roman"/>
                <w:color w:val="000000" w:themeColor="text1"/>
                <w:sz w:val="26"/>
                <w:szCs w:val="26"/>
                <w14:textFill>
                  <w14:solidFill>
                    <w14:schemeClr w14:val="tx1"/>
                  </w14:solidFill>
                </w14:textFill>
              </w:rPr>
              <w:t>面积</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3300</w:t>
            </w:r>
            <w:r>
              <w:rPr>
                <w:rFonts w:hint="default" w:ascii="Times New Roman" w:hAnsi="Times New Roman" w:eastAsia="宋体" w:cs="Times New Roman"/>
                <w:color w:val="000000" w:themeColor="text1"/>
                <w:sz w:val="26"/>
                <w:szCs w:val="26"/>
                <w14:textFill>
                  <w14:solidFill>
                    <w14:schemeClr w14:val="tx1"/>
                  </w14:solidFill>
                </w14:textFill>
              </w:rPr>
              <w:t>m</w:t>
            </w:r>
            <w:r>
              <w:rPr>
                <w:rFonts w:hint="default" w:ascii="Times New Roman" w:hAnsi="Times New Roman" w:eastAsia="宋体" w:cs="Times New Roman"/>
                <w:color w:val="000000" w:themeColor="text1"/>
                <w:sz w:val="26"/>
                <w:szCs w:val="26"/>
                <w:vertAlign w:val="superscript"/>
                <w14:textFill>
                  <w14:solidFill>
                    <w14:schemeClr w14:val="tx1"/>
                  </w14:solidFill>
                </w14:textFill>
              </w:rPr>
              <w:t>2</w:t>
            </w:r>
            <w:r>
              <w:rPr>
                <w:rFonts w:hint="default" w:ascii="Times New Roman" w:hAnsi="Times New Roman" w:eastAsia="宋体" w:cs="Times New Roman"/>
                <w:color w:val="000000" w:themeColor="text1"/>
                <w:sz w:val="26"/>
                <w:szCs w:val="26"/>
                <w14:textFill>
                  <w14:solidFill>
                    <w14:schemeClr w14:val="tx1"/>
                  </w14:solidFill>
                </w14:textFill>
              </w:rPr>
              <w:t>。购置</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排气台、铸靶炉、玻璃车床、铅箱、除气台等生产设备，年产4万只X射线管</w:t>
            </w:r>
            <w:r>
              <w:rPr>
                <w:rFonts w:hint="eastAsia" w:ascii="Times New Roman" w:hAnsi="Times New Roman" w:cs="Times New Roman"/>
                <w:color w:val="000000" w:themeColor="text1"/>
                <w:sz w:val="26"/>
                <w:szCs w:val="26"/>
                <w:lang w:val="en-US" w:eastAsia="zh-CN"/>
                <w14:textFill>
                  <w14:solidFill>
                    <w14:schemeClr w14:val="tx1"/>
                  </w14:solidFill>
                </w14:textFill>
              </w:rPr>
              <w:t>；</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实际总投资约</w:t>
            </w:r>
            <w:r>
              <w:rPr>
                <w:rFonts w:hint="eastAsia" w:cs="Times New Roman"/>
                <w:color w:val="000000" w:themeColor="text1"/>
                <w:sz w:val="26"/>
                <w:szCs w:val="26"/>
                <w:lang w:val="en-US" w:eastAsia="zh-CN"/>
                <w14:textFill>
                  <w14:solidFill>
                    <w14:schemeClr w14:val="tx1"/>
                  </w14:solidFill>
                </w14:textFill>
              </w:rPr>
              <w:t>5450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万元，其中环保投资</w:t>
            </w:r>
            <w:r>
              <w:rPr>
                <w:rFonts w:hint="eastAsia" w:cs="Times New Roman"/>
                <w:color w:val="000000" w:themeColor="text1"/>
                <w:sz w:val="26"/>
                <w:szCs w:val="26"/>
                <w:lang w:val="en-US" w:eastAsia="zh-CN"/>
                <w14:textFill>
                  <w14:solidFill>
                    <w14:schemeClr w14:val="tx1"/>
                  </w14:solidFill>
                </w14:textFill>
              </w:rPr>
              <w:t>8</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5万元</w:t>
            </w:r>
            <w:r>
              <w:rPr>
                <w:rFonts w:hint="eastAsia" w:cs="Times New Roman"/>
                <w:color w:val="000000" w:themeColor="text1"/>
                <w:sz w:val="26"/>
                <w:szCs w:val="26"/>
                <w:lang w:val="en-US" w:eastAsia="zh-CN"/>
                <w14:textFill>
                  <w14:solidFill>
                    <w14:schemeClr w14:val="tx1"/>
                  </w14:solidFill>
                </w14:textFill>
              </w:rPr>
              <w:t>，</w:t>
            </w:r>
            <w:r>
              <w:rPr>
                <w:rFonts w:hint="eastAsia"/>
                <w:color w:val="000000" w:themeColor="text1"/>
                <w:sz w:val="26"/>
                <w:szCs w:val="26"/>
                <w:highlight w:val="none"/>
                <w14:textFill>
                  <w14:solidFill>
                    <w14:schemeClr w14:val="tx1"/>
                  </w14:solidFill>
                </w14:textFill>
              </w:rPr>
              <w:t>占总投资的</w:t>
            </w:r>
            <w:r>
              <w:rPr>
                <w:rFonts w:hint="eastAsia"/>
                <w:color w:val="000000" w:themeColor="text1"/>
                <w:sz w:val="26"/>
                <w:szCs w:val="26"/>
                <w:highlight w:val="none"/>
                <w:lang w:val="en-US" w:eastAsia="zh-CN"/>
                <w14:textFill>
                  <w14:solidFill>
                    <w14:schemeClr w14:val="tx1"/>
                  </w14:solidFill>
                </w14:textFill>
              </w:rPr>
              <w:t>1.6</w:t>
            </w:r>
            <w:r>
              <w:rPr>
                <w:rFonts w:hint="eastAsia"/>
                <w:color w:val="000000" w:themeColor="text1"/>
                <w:sz w:val="26"/>
                <w:szCs w:val="26"/>
                <w:highlight w:val="none"/>
                <w14:textFill>
                  <w14:solidFill>
                    <w14:schemeClr w14:val="tx1"/>
                  </w14:solidFill>
                </w14:textFill>
              </w:rPr>
              <w:t>%</w:t>
            </w:r>
            <w:r>
              <w:rPr>
                <w:rFonts w:hint="default" w:ascii="Times New Roman" w:hAnsi="Times New Roman" w:eastAsia="宋体" w:cs="Times New Roman"/>
                <w:bCs/>
                <w:color w:val="000000" w:themeColor="text1"/>
                <w:sz w:val="26"/>
                <w:szCs w:val="26"/>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r>
              <w:rPr>
                <w:rFonts w:hint="default" w:ascii="Times New Roman" w:hAnsi="Times New Roman" w:eastAsia="宋体" w:cs="Times New Roman"/>
                <w:b/>
                <w:color w:val="000000" w:themeColor="text1"/>
                <w:sz w:val="26"/>
                <w:szCs w:val="26"/>
                <w14:textFill>
                  <w14:solidFill>
                    <w14:schemeClr w14:val="tx1"/>
                  </w14:solidFill>
                </w14:textFill>
              </w:rPr>
              <w:t>8.2</w:t>
            </w:r>
            <w:r>
              <w:rPr>
                <w:rFonts w:hint="default" w:ascii="Times New Roman" w:hAnsi="Times New Roman" w:eastAsia="宋体" w:cs="Times New Roman"/>
                <w:b/>
                <w:bCs/>
                <w:color w:val="000000" w:themeColor="text1"/>
                <w:sz w:val="26"/>
                <w:szCs w:val="26"/>
                <w14:textFill>
                  <w14:solidFill>
                    <w14:schemeClr w14:val="tx1"/>
                  </w14:solidFill>
                </w14:textFill>
              </w:rPr>
              <w:t>环保手续完善情况</w:t>
            </w:r>
          </w:p>
          <w:p>
            <w:pPr>
              <w:pStyle w:val="34"/>
              <w:keepNext w:val="0"/>
              <w:keepLines w:val="0"/>
              <w:pageBreakBefore w:val="0"/>
              <w:kinsoku/>
              <w:wordWrap/>
              <w:overflowPunct/>
              <w:topLinePunct w:val="0"/>
              <w:autoSpaceDE/>
              <w:autoSpaceDN/>
              <w:bidi w:val="0"/>
              <w:adjustRightInd w:val="0"/>
              <w:spacing w:after="0"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2018年09月14日取得了重庆市九龙坡区生态环境局下发的建设项</w:t>
            </w:r>
            <w:r>
              <w:rPr>
                <w:rFonts w:hint="eastAsia" w:cs="Times New Roman"/>
                <w:bCs/>
                <w:color w:val="000000" w:themeColor="text1"/>
                <w:sz w:val="26"/>
                <w:szCs w:val="26"/>
                <w:lang w:val="en-US" w:eastAsia="zh-CN"/>
                <w14:textFill>
                  <w14:solidFill>
                    <w14:schemeClr w14:val="tx1"/>
                  </w14:solidFill>
                </w14:textFill>
              </w:rPr>
              <w:t>环境影响</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响评价文件批准书（渝（九）环准[2018]118号），2019年04月08日完成了</w:t>
            </w:r>
            <w:r>
              <w:rPr>
                <w:rFonts w:hint="default" w:ascii="Times New Roman" w:hAnsi="Times New Roman" w:eastAsia="宋体" w:cs="Times New Roman"/>
                <w:bCs/>
                <w:color w:val="000000" w:themeColor="text1"/>
                <w:sz w:val="26"/>
                <w:szCs w:val="26"/>
                <w:lang w:eastAsia="zh-CN"/>
                <w14:textFill>
                  <w14:solidFill>
                    <w14:schemeClr w14:val="tx1"/>
                  </w14:solidFill>
                </w14:textFill>
              </w:rPr>
              <w:t>石墨烯及其应用产品研发项目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竣工验收”，取得了重庆市九龙坡区生态环境局下发的建设项目竣工环境保护验收批复（渝（九）环验[2019]039号）。2021年8月完成了“</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”，取得了重庆高新区生态环境下发的建设项</w:t>
            </w:r>
            <w:r>
              <w:rPr>
                <w:rFonts w:hint="eastAsia" w:cs="Times New Roman"/>
                <w:bCs/>
                <w:color w:val="000000" w:themeColor="text1"/>
                <w:sz w:val="26"/>
                <w:szCs w:val="26"/>
                <w:lang w:val="en-US" w:eastAsia="zh-CN"/>
                <w14:textFill>
                  <w14:solidFill>
                    <w14:schemeClr w14:val="tx1"/>
                  </w14:solidFill>
                </w14:textFill>
              </w:rPr>
              <w:t>环境影响</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响评价文件批准书（渝（高新）环准[2021]037号），2022年4月取得了固定污染源排污登记回执（登记编号：91500107MA60J0589K001X），2022年9月取得了风险评估和应急预案备案回执，备案编号分别为：5001932022090002和500-193-2022-021-L</w:t>
            </w:r>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kinsoku/>
              <w:wordWrap/>
              <w:overflowPunct/>
              <w:topLinePunct w:val="0"/>
              <w:autoSpaceDE/>
              <w:autoSpaceDN/>
              <w:bidi w:val="0"/>
              <w:adjustRightIn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项目于202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w:t>
            </w:r>
            <w:r>
              <w:rPr>
                <w:rFonts w:hint="default" w:ascii="Times New Roman" w:hAnsi="Times New Roman" w:eastAsia="宋体" w:cs="Times New Roman"/>
                <w:color w:val="000000" w:themeColor="text1"/>
                <w:sz w:val="26"/>
                <w:szCs w:val="26"/>
                <w14:textFill>
                  <w14:solidFill>
                    <w14:schemeClr w14:val="tx1"/>
                  </w14:solidFill>
                </w14:textFill>
              </w:rPr>
              <w:t>年1</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0</w:t>
            </w:r>
            <w:r>
              <w:rPr>
                <w:rFonts w:hint="default" w:ascii="Times New Roman" w:hAnsi="Times New Roman" w:eastAsia="宋体" w:cs="Times New Roman"/>
                <w:color w:val="000000" w:themeColor="text1"/>
                <w:sz w:val="26"/>
                <w:szCs w:val="26"/>
                <w14:textFill>
                  <w14:solidFill>
                    <w14:schemeClr w14:val="tx1"/>
                  </w14:solidFill>
                </w14:textFill>
              </w:rPr>
              <w:t>月开工建设，</w:t>
            </w:r>
            <w:r>
              <w:rPr>
                <w:rFonts w:hint="default" w:ascii="Times New Roman" w:hAnsi="Times New Roman" w:eastAsia="宋体" w:cs="Times New Roman"/>
                <w:color w:val="000000" w:themeColor="text1"/>
                <w:sz w:val="26"/>
                <w:szCs w:val="26"/>
                <w:lang w:val="en-US" w:eastAsia="zh-CN"/>
                <w14:textFill>
                  <w14:solidFill>
                    <w14:schemeClr w14:val="tx1"/>
                  </w14:solidFill>
                </w14:textFill>
              </w:rPr>
              <w:t>于2022年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10</w:t>
            </w:r>
            <w:r>
              <w:rPr>
                <w:rFonts w:hint="default" w:ascii="Times New Roman" w:hAnsi="Times New Roman" w:eastAsia="宋体" w:cs="Times New Roman"/>
                <w:color w:val="000000" w:themeColor="text1"/>
                <w:sz w:val="26"/>
                <w:szCs w:val="26"/>
                <w14:textFill>
                  <w14:solidFill>
                    <w14:schemeClr w14:val="tx1"/>
                  </w14:solidFill>
                </w14:textFill>
              </w:rPr>
              <w:t>月建设完成，项目于2022年</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11</w:t>
            </w:r>
            <w:r>
              <w:rPr>
                <w:rFonts w:hint="default" w:ascii="Times New Roman" w:hAnsi="Times New Roman" w:eastAsia="宋体" w:cs="Times New Roman"/>
                <w:color w:val="000000" w:themeColor="text1"/>
                <w:sz w:val="26"/>
                <w:szCs w:val="26"/>
                <w14:textFill>
                  <w14:solidFill>
                    <w14:schemeClr w14:val="tx1"/>
                  </w14:solidFill>
                </w14:textFill>
              </w:rPr>
              <w:t>月开始进行调试</w:t>
            </w:r>
            <w:r>
              <w:rPr>
                <w:rFonts w:hint="default" w:ascii="Times New Roman" w:hAnsi="Times New Roman" w:eastAsia="宋体" w:cs="Times New Roman"/>
                <w:bCs/>
                <w:color w:val="000000" w:themeColor="text1"/>
                <w:sz w:val="26"/>
                <w:szCs w:val="26"/>
                <w14:textFill>
                  <w14:solidFill>
                    <w14:schemeClr w14:val="tx1"/>
                  </w14:solidFill>
                </w14:textFill>
              </w:rPr>
              <w:t>，并启动竣工环境保护验收工作。</w:t>
            </w:r>
          </w:p>
          <w:p>
            <w:pPr>
              <w:spacing w:after="0" w:line="460" w:lineRule="atLeast"/>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8.3工程变动情况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根据《</w:t>
            </w:r>
            <w:r>
              <w:rPr>
                <w:rFonts w:hint="eastAsia" w:ascii="Times New Roman" w:hAnsi="Times New Roman" w:eastAsia="宋体" w:cs="Times New Roman"/>
                <w:bCs/>
                <w:color w:val="000000" w:themeColor="text1"/>
                <w:sz w:val="26"/>
                <w:szCs w:val="26"/>
                <w:lang w:eastAsia="zh-CN"/>
                <w14:textFill>
                  <w14:solidFill>
                    <w14:schemeClr w14:val="tx1"/>
                  </w14:solidFill>
                </w14:textFill>
              </w:rPr>
              <w:t>X射线管生产扩建项目</w:t>
            </w:r>
            <w:r>
              <w:rPr>
                <w:rFonts w:hint="default" w:ascii="Times New Roman" w:hAnsi="Times New Roman" w:eastAsia="宋体" w:cs="Times New Roman"/>
                <w:bCs/>
                <w:color w:val="000000" w:themeColor="text1"/>
                <w:sz w:val="26"/>
                <w:szCs w:val="26"/>
                <w14:textFill>
                  <w14:solidFill>
                    <w14:schemeClr w14:val="tx1"/>
                  </w14:solidFill>
                </w14:textFill>
              </w:rPr>
              <w:t>环境影响报告表</w:t>
            </w:r>
            <w:r>
              <w:rPr>
                <w:rFonts w:hint="default" w:ascii="Times New Roman" w:hAnsi="Times New Roman" w:eastAsia="宋体" w:cs="Times New Roman"/>
                <w:color w:val="000000" w:themeColor="text1"/>
                <w:sz w:val="26"/>
                <w:szCs w:val="26"/>
                <w14:textFill>
                  <w14:solidFill>
                    <w14:schemeClr w14:val="tx1"/>
                  </w14:solidFill>
                </w14:textFill>
              </w:rPr>
              <w:t>》及环评批复、结合现场调查，</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w:t>
            </w:r>
            <w:r>
              <w:rPr>
                <w:rFonts w:hint="default" w:ascii="Times New Roman" w:hAnsi="Times New Roman" w:eastAsia="宋体" w:cs="Times New Roman"/>
                <w:color w:val="000000" w:themeColor="text1"/>
                <w:sz w:val="26"/>
                <w:szCs w:val="26"/>
                <w14:textFill>
                  <w14:solidFill>
                    <w14:schemeClr w14:val="tx1"/>
                  </w14:solidFill>
                </w14:textFill>
              </w:rPr>
              <w:t>项目实际建成与</w:t>
            </w:r>
            <w:r>
              <w:rPr>
                <w:rFonts w:hint="default" w:ascii="Times New Roman" w:hAnsi="Times New Roman" w:eastAsia="宋体" w:cs="Times New Roman"/>
                <w:bCs/>
                <w:color w:val="000000" w:themeColor="text1"/>
                <w:sz w:val="26"/>
                <w:szCs w:val="26"/>
                <w14:textFill>
                  <w14:solidFill>
                    <w14:schemeClr w14:val="tx1"/>
                  </w14:solidFill>
                </w14:textFill>
              </w:rPr>
              <w:t>环评表及环评批复</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一致，本项目实际建成与环评表及环评批复基本一致，其变动情况如下：</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default"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①变动内容：取消建设危化品仓库和危废暂存间。</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②变动分析：</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的一般固废间，但位于4楼的现有一般固废间空间盈余，且各项环保措施、安全措施均已验收通过，现有一般固废间约15m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，本项目暂存危化品所需面积约7m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原环评拟计划在厂房西北部，建设一座面积约12m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的危化品仓库，但位于4楼的现有危化品仓库空间盈余，且各项环保措施、安全措施均已验收通过，现有危化品仓库约20m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，已使用面积约6m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，本项目暂存危化品所需面积约10m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原环评拟计划在厂房西北部，建设一座面积约20m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的危废暂存间，但位于4楼的现有危废暂存间空间盈余，且各项环保措施均已验收通过，现有危废暂存间约70m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，已使用面积约15m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，本项目产生的危险废物所需面积约25m</w:t>
            </w:r>
            <w:r>
              <w:rPr>
                <w:rFonts w:hint="eastAsia" w:ascii="Times New Roman" w:hAnsi="Times New Roman" w:eastAsia="宋体" w:cs="Times New Roman"/>
                <w:color w:val="000000" w:themeColor="text1"/>
                <w:sz w:val="26"/>
                <w:szCs w:val="26"/>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，因此，通过合理布局和调整暂存量，满足依托所需。</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此外，一般固废间、危化品仓库和危废暂存间均位于4楼，相较于设置在1楼，更易发现污染物泄漏、迁移情况，降低了环境风险，更有利于环境保护。</w:t>
            </w:r>
          </w:p>
          <w:p>
            <w:pPr>
              <w:keepNext w:val="0"/>
              <w:keepLines w:val="0"/>
              <w:pageBreakBefore w:val="0"/>
              <w:widowControl/>
              <w:kinsoku/>
              <w:wordWrap/>
              <w:overflowPunct/>
              <w:topLinePunct w:val="0"/>
              <w:autoSpaceDE/>
              <w:autoSpaceDN/>
              <w:bidi w:val="0"/>
              <w:adjustRightInd w:val="0"/>
              <w:snapToGrid w:val="0"/>
              <w:spacing w:after="0" w:line="460" w:lineRule="exact"/>
              <w:ind w:firstLine="520" w:firstLineChars="200"/>
              <w:jc w:val="both"/>
              <w:textAlignment w:val="auto"/>
              <w:rPr>
                <w:rFonts w:hint="eastAsia" w:ascii="Times New Roman" w:hAnsi="Times New Roman" w:eastAsia="宋体" w:cs="Times New Roman"/>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color w:val="000000" w:themeColor="text1"/>
                <w:sz w:val="26"/>
                <w:szCs w:val="26"/>
                <w:lang w:val="en-US" w:eastAsia="zh-CN"/>
                <w14:textFill>
                  <w14:solidFill>
                    <w14:schemeClr w14:val="tx1"/>
                  </w14:solidFill>
                </w14:textFill>
              </w:rPr>
              <w:t>项目优化了工艺流程，取消了石墨烯镀膜检测工艺，无镀膜废气产生，减少了污染物的排放，更有利于环境保护。</w:t>
            </w:r>
          </w:p>
          <w:p>
            <w:pPr>
              <w:pStyle w:val="46"/>
              <w:keepNext w:val="0"/>
              <w:keepLines w:val="0"/>
              <w:pageBreakBefore w:val="0"/>
              <w:widowControl/>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color w:val="000000" w:themeColor="text1"/>
                <w:sz w:val="26"/>
                <w:szCs w:val="26"/>
                <w:highlight w:val="none"/>
                <w14:textFill>
                  <w14:solidFill>
                    <w14:schemeClr w14:val="tx1"/>
                  </w14:solidFill>
                </w14:textFill>
              </w:rPr>
              <w:t>综上，根据重庆市环境保护局《重庆市建设项目重大变动界定程序规定》（渝环</w:t>
            </w:r>
            <w:r>
              <w:rPr>
                <w:rFonts w:hint="eastAsia"/>
                <w:color w:val="000000" w:themeColor="text1"/>
                <w:sz w:val="26"/>
                <w:szCs w:val="26"/>
                <w:highlight w:val="none"/>
                <w:lang w:eastAsia="zh-CN"/>
                <w14:textFill>
                  <w14:solidFill>
                    <w14:schemeClr w14:val="tx1"/>
                  </w14:solidFill>
                </w14:textFill>
              </w:rPr>
              <w:t>〔</w:t>
            </w:r>
            <w:r>
              <w:rPr>
                <w:rFonts w:hint="eastAsia"/>
                <w:color w:val="000000" w:themeColor="text1"/>
                <w:sz w:val="26"/>
                <w:szCs w:val="26"/>
                <w:highlight w:val="none"/>
                <w14:textFill>
                  <w14:solidFill>
                    <w14:schemeClr w14:val="tx1"/>
                  </w14:solidFill>
                </w14:textFill>
              </w:rPr>
              <w:t>[201</w:t>
            </w:r>
            <w:r>
              <w:rPr>
                <w:rFonts w:hint="eastAsia"/>
                <w:color w:val="000000" w:themeColor="text1"/>
                <w:sz w:val="26"/>
                <w:szCs w:val="26"/>
                <w:highlight w:val="none"/>
                <w:lang w:eastAsia="zh-CN"/>
                <w14:textFill>
                  <w14:solidFill>
                    <w14:schemeClr w14:val="tx1"/>
                  </w14:solidFill>
                </w14:textFill>
              </w:rPr>
              <w:t>〕</w:t>
            </w:r>
            <w:r>
              <w:rPr>
                <w:rFonts w:hint="eastAsia"/>
                <w:color w:val="000000" w:themeColor="text1"/>
                <w:sz w:val="26"/>
                <w:szCs w:val="26"/>
                <w:highlight w:val="none"/>
                <w14:textFill>
                  <w14:solidFill>
                    <w14:schemeClr w14:val="tx1"/>
                  </w14:solidFill>
                </w14:textFill>
              </w:rPr>
              <w:t>]65号）以及《关于印发〈污染影响类建设项目重大变动清单（试行）〉的通知》（环办环评函〔2020〕688号），</w:t>
            </w:r>
            <w:r>
              <w:rPr>
                <w:rFonts w:hint="eastAsia" w:cs="Tahoma"/>
                <w:color w:val="000000" w:themeColor="text1"/>
                <w:kern w:val="2"/>
                <w:sz w:val="26"/>
                <w:szCs w:val="26"/>
                <w:highlight w:val="none"/>
                <w14:textFill>
                  <w14:solidFill>
                    <w14:schemeClr w14:val="tx1"/>
                  </w14:solidFill>
                </w14:textFill>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本验收项目的性质、地点、生产工艺未发生变动，</w:t>
            </w:r>
            <w:r>
              <w:rPr>
                <w:rFonts w:hint="eastAsia" w:cs="Tahoma"/>
                <w:color w:val="000000" w:themeColor="text1"/>
                <w:kern w:val="2"/>
                <w:sz w:val="26"/>
                <w:szCs w:val="26"/>
                <w:highlight w:val="none"/>
                <w:lang w:val="en-US" w:eastAsia="zh-CN"/>
                <w14:textFill>
                  <w14:solidFill>
                    <w14:schemeClr w14:val="tx1"/>
                  </w14:solidFill>
                </w14:textFill>
              </w:rPr>
              <w:t>其余变动情况</w:t>
            </w:r>
            <w:r>
              <w:rPr>
                <w:rFonts w:hint="eastAsia"/>
                <w:color w:val="000000" w:themeColor="text1"/>
                <w:sz w:val="26"/>
                <w:szCs w:val="26"/>
                <w:highlight w:val="none"/>
                <w14:textFill>
                  <w14:solidFill>
                    <w14:schemeClr w14:val="tx1"/>
                  </w14:solidFill>
                </w14:textFill>
              </w:rPr>
              <w:t>不属于重大变动。</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15" w:name="_Toc512518756"/>
            <w:r>
              <w:rPr>
                <w:rFonts w:hint="default" w:ascii="Times New Roman" w:hAnsi="Times New Roman" w:eastAsia="宋体" w:cs="Times New Roman"/>
                <w:b/>
                <w:color w:val="000000" w:themeColor="text1"/>
                <w:sz w:val="26"/>
                <w:szCs w:val="26"/>
                <w14:textFill>
                  <w14:solidFill>
                    <w14:schemeClr w14:val="tx1"/>
                  </w14:solidFill>
                </w14:textFill>
              </w:rPr>
              <w:t>8.4环保设施落实情况</w:t>
            </w:r>
            <w:bookmarkEnd w:id="15"/>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（1）废水治理设施</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bookmarkStart w:id="16" w:name="_Hlk100912270"/>
            <w:r>
              <w:rPr>
                <w:rFonts w:hint="default" w:ascii="Times New Roman" w:hAnsi="Times New Roman" w:eastAsia="宋体" w:cs="Times New Roman"/>
                <w:bCs/>
                <w:color w:val="000000" w:themeColor="text1"/>
                <w:sz w:val="26"/>
                <w:szCs w:val="26"/>
                <w14:textFill>
                  <w14:solidFill>
                    <w14:schemeClr w14:val="tx1"/>
                  </w14:solidFill>
                </w14:textFill>
              </w:rPr>
              <w:t>本项目</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生产废水经自建污水处理设施（设计处理规模55m</w:t>
            </w:r>
            <w:r>
              <w:rPr>
                <w:rFonts w:hint="default" w:ascii="Times New Roman" w:hAnsi="Times New Roman" w:eastAsia="宋体" w:cs="Times New Roman"/>
                <w:bCs/>
                <w:color w:val="000000" w:themeColor="text1"/>
                <w:sz w:val="26"/>
                <w:szCs w:val="26"/>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/d）处理达《电子工业水污染物排放标准》（GB 39731-2020）表1间接标准后排入市政管网，生活污水依托金凤电子信息产业园生化池（设计处理规模450m</w:t>
            </w:r>
            <w:r>
              <w:rPr>
                <w:rFonts w:hint="default" w:ascii="Times New Roman" w:hAnsi="Times New Roman" w:eastAsia="宋体" w:cs="Times New Roman"/>
                <w:bCs/>
                <w:color w:val="000000" w:themeColor="text1"/>
                <w:sz w:val="26"/>
                <w:szCs w:val="26"/>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/d）处理达《污水综合排放标准》（GB 8978-1996）三级标准后排入市政污水管网，生产废水和生活污水再经西永污水处理厂处理达到《城镇污水处理厂污染物排放标准》（GB 18918-2002）一级A标准后排入梁滩河，最终汇入嘉陵江</w:t>
            </w:r>
            <w:r>
              <w:rPr>
                <w:rFonts w:hint="default" w:ascii="Times New Roman" w:hAnsi="Times New Roman" w:eastAsia="宋体" w:cs="Times New Roman"/>
                <w:bCs/>
                <w:color w:val="000000" w:themeColor="text1"/>
                <w:sz w:val="26"/>
                <w:szCs w:val="26"/>
                <w:lang w:val="en-GB"/>
                <w14:textFill>
                  <w14:solidFill>
                    <w14:schemeClr w14:val="tx1"/>
                  </w14:solidFill>
                </w14:textFill>
              </w:rPr>
              <w:t>。</w:t>
            </w:r>
          </w:p>
          <w:bookmarkEnd w:id="16"/>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（2）废气治理设施</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bookmarkStart w:id="17" w:name="_Hlk100912284"/>
            <w:r>
              <w:rPr>
                <w:rFonts w:hint="eastAsia" w:ascii="Times New Roman" w:hAnsi="Times New Roman" w:eastAsia="宋体" w:cs="Times New Roman"/>
                <w:bCs/>
                <w:color w:val="000000" w:themeColor="text1"/>
                <w:sz w:val="26"/>
                <w:szCs w:val="26"/>
                <w:lang w:val="en-GB" w:eastAsia="zh-CN"/>
                <w14:textFill>
                  <w14:solidFill>
                    <w14:schemeClr w14:val="tx1"/>
                  </w14:solidFill>
                </w14:textFill>
              </w:rPr>
              <w:t>项目产生的酸雾和有机废气通过集气设施收集，进入1套“碱液喷淋+除雾+活性炭吸附”装置处理后经15m高排气筒排放。机加工产生的金属粉尘经磨床自带吸尘装置收集处理后无组织排放。丙烷燃烧废气呈无组织排放。</w:t>
            </w:r>
          </w:p>
          <w:bookmarkEnd w:id="17"/>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（3）噪声治理措施</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本项目噪声主要来自台式钻床、</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数控车床</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磨床</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超声波清洗机和玻璃车床</w:t>
            </w:r>
            <w:r>
              <w:rPr>
                <w:rFonts w:hint="default" w:ascii="Times New Roman" w:hAnsi="Times New Roman" w:eastAsia="宋体" w:cs="Times New Roman"/>
                <w:bCs/>
                <w:color w:val="000000" w:themeColor="text1"/>
                <w:sz w:val="26"/>
                <w:szCs w:val="26"/>
                <w14:textFill>
                  <w14:solidFill>
                    <w14:schemeClr w14:val="tx1"/>
                  </w14:solidFill>
                </w14:textFill>
              </w:rPr>
              <w:t>等运行时产生的噪声。项目选用了低噪声设备，噪声设备均置于室内，对噪声设备采取了基础减振，隔声等措施，同时加强设备的维护和管理，</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可</w:t>
            </w:r>
            <w:r>
              <w:rPr>
                <w:rFonts w:hint="default" w:ascii="Times New Roman" w:hAnsi="Times New Roman" w:eastAsia="宋体" w:cs="Times New Roman"/>
                <w:bCs/>
                <w:color w:val="000000" w:themeColor="text1"/>
                <w:sz w:val="26"/>
                <w:szCs w:val="26"/>
                <w14:textFill>
                  <w14:solidFill>
                    <w14:schemeClr w14:val="tx1"/>
                  </w14:solidFill>
                </w14:textFill>
              </w:rPr>
              <w:t>确保厂界噪声达标。</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（4）固体废物处置</w:t>
            </w:r>
          </w:p>
          <w:p>
            <w:pPr>
              <w:keepNext w:val="0"/>
              <w:keepLines w:val="0"/>
              <w:pageBreakBefore w:val="0"/>
              <w:kinsoku/>
              <w:wordWrap/>
              <w:overflowPunct/>
              <w:topLinePunct w:val="0"/>
              <w:autoSpaceDE/>
              <w:autoSpaceDN/>
              <w:bidi w:val="0"/>
              <w:adjustRightInd w:val="0"/>
              <w:spacing w:after="0" w:line="460" w:lineRule="exact"/>
              <w:ind w:firstLine="520" w:firstLineChars="200"/>
              <w:jc w:val="both"/>
              <w:textAlignment w:val="auto"/>
              <w:rPr>
                <w:rFonts w:hint="default" w:ascii="Times New Roman" w:hAnsi="Times New Roman" w:eastAsia="宋体" w:cs="Times New Roman"/>
                <w:bCs/>
                <w:color w:val="000000" w:themeColor="text1"/>
                <w:sz w:val="26"/>
                <w:szCs w:val="26"/>
                <w14:textFill>
                  <w14:solidFill>
                    <w14:schemeClr w14:val="tx1"/>
                  </w14:solidFill>
                </w14:textFill>
              </w:rPr>
            </w:pPr>
            <w:bookmarkStart w:id="18" w:name="_Hlk100912550"/>
            <w:r>
              <w:rPr>
                <w:rFonts w:hint="default" w:ascii="Times New Roman" w:hAnsi="Times New Roman" w:eastAsia="宋体" w:cs="Times New Roman"/>
                <w:bCs/>
                <w:color w:val="000000" w:themeColor="text1"/>
                <w:sz w:val="26"/>
                <w:szCs w:val="26"/>
                <w14:textFill>
                  <w14:solidFill>
                    <w14:schemeClr w14:val="tx1"/>
                  </w14:solidFill>
                </w14:textFill>
              </w:rPr>
              <w:t>项目厂区产生危险废物主要包括</w:t>
            </w:r>
            <w:r>
              <w:rPr>
                <w:rFonts w:hint="default" w:ascii="Times New Roman" w:hAnsi="Times New Roman" w:eastAsia="宋体" w:cs="Times New Roman"/>
                <w:bCs/>
                <w:color w:val="000000" w:themeColor="text1"/>
                <w:sz w:val="26"/>
                <w:szCs w:val="26"/>
                <w:lang w:eastAsia="zh-CN"/>
                <w14:textFill>
                  <w14:solidFill>
                    <w14:schemeClr w14:val="tx1"/>
                  </w14:solidFill>
                </w14:textFill>
              </w:rPr>
              <w:t>废活性炭</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切削液</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废棉纱手套、废变压器油</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、废包装桶、污泥、废机油、废机油桶</w:t>
            </w:r>
            <w:r>
              <w:rPr>
                <w:rFonts w:hint="default" w:ascii="Times New Roman" w:hAnsi="Times New Roman" w:eastAsia="宋体" w:cs="Times New Roman"/>
                <w:bCs/>
                <w:color w:val="000000" w:themeColor="text1"/>
                <w:sz w:val="26"/>
                <w:szCs w:val="26"/>
                <w14:textFill>
                  <w14:solidFill>
                    <w14:schemeClr w14:val="tx1"/>
                  </w14:solidFill>
                </w14:textFill>
              </w:rPr>
              <w:t>，</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暂存于</w:t>
            </w:r>
            <w:r>
              <w:rPr>
                <w:rFonts w:hint="default" w:ascii="Times New Roman" w:hAnsi="Times New Roman" w:eastAsia="宋体" w:cs="Times New Roman"/>
                <w:bCs/>
                <w:color w:val="000000" w:themeColor="text1"/>
                <w:sz w:val="26"/>
                <w:szCs w:val="26"/>
                <w14:textFill>
                  <w14:solidFill>
                    <w14:schemeClr w14:val="tx1"/>
                  </w14:solidFill>
                </w14:textFill>
              </w:rPr>
              <w:t>厂区</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4楼已建成</w:t>
            </w:r>
            <w:r>
              <w:rPr>
                <w:rFonts w:hint="default" w:ascii="Times New Roman" w:hAnsi="Times New Roman" w:eastAsia="宋体" w:cs="Times New Roman"/>
                <w:bCs/>
                <w:color w:val="000000" w:themeColor="text1"/>
                <w:sz w:val="26"/>
                <w:szCs w:val="26"/>
                <w:lang w:val="en-GB"/>
                <w14:textFill>
                  <w14:solidFill>
                    <w14:schemeClr w14:val="tx1"/>
                  </w14:solidFill>
                </w14:textFill>
              </w:rPr>
              <w:t>危废暂存间。</w:t>
            </w:r>
            <w:r>
              <w:rPr>
                <w:rFonts w:hint="default" w:ascii="Times New Roman" w:hAnsi="Times New Roman" w:eastAsia="宋体" w:cs="Times New Roman"/>
                <w:bCs/>
                <w:color w:val="000000" w:themeColor="text1"/>
                <w:sz w:val="26"/>
                <w:szCs w:val="26"/>
                <w14:textFill>
                  <w14:solidFill>
                    <w14:schemeClr w14:val="tx1"/>
                  </w14:solidFill>
                </w14:textFill>
              </w:rPr>
              <w:t>项目危险废物采用专用容器分类收集，暂存于危险废物暂存间，定期交由</w:t>
            </w:r>
            <w:r>
              <w:rPr>
                <w:rFonts w:hint="eastAsia" w:ascii="Times New Roman" w:hAnsi="Times New Roman" w:eastAsia="宋体" w:cs="Times New Roman"/>
                <w:bCs/>
                <w:color w:val="000000" w:themeColor="text1"/>
                <w:sz w:val="26"/>
                <w:szCs w:val="26"/>
                <w:lang w:eastAsia="zh-CN"/>
                <w14:textFill>
                  <w14:solidFill>
                    <w14:schemeClr w14:val="tx1"/>
                  </w14:solidFill>
                </w14:textFill>
              </w:rPr>
              <w:t>重庆新艮犇环保科技有限公司</w:t>
            </w:r>
            <w:r>
              <w:rPr>
                <w:rFonts w:hint="default" w:ascii="Times New Roman" w:hAnsi="Times New Roman" w:eastAsia="宋体" w:cs="Times New Roman"/>
                <w:bCs/>
                <w:color w:val="000000" w:themeColor="text1"/>
                <w:sz w:val="26"/>
                <w:szCs w:val="26"/>
                <w14:textFill>
                  <w14:solidFill>
                    <w14:schemeClr w14:val="tx1"/>
                  </w14:solidFill>
                </w14:textFill>
              </w:rPr>
              <w:t>进行处置</w:t>
            </w:r>
            <w:r>
              <w:rPr>
                <w:rFonts w:hint="eastAsia" w:ascii="Times New Roman" w:hAnsi="Times New Roman" w:eastAsia="宋体" w:cs="Times New Roman"/>
                <w:bCs/>
                <w:color w:val="000000" w:themeColor="text1"/>
                <w:sz w:val="26"/>
                <w:szCs w:val="26"/>
                <w:lang w:eastAsia="zh-CN"/>
                <w14:textFill>
                  <w14:solidFill>
                    <w14:schemeClr w14:val="tx1"/>
                  </w14:solidFill>
                </w14:textFill>
              </w:rPr>
              <w:t>，</w:t>
            </w:r>
            <w:r>
              <w:rPr>
                <w:rFonts w:hint="default" w:ascii="Times New Roman" w:hAnsi="Times New Roman" w:eastAsia="宋体" w:cs="Times New Roman"/>
                <w:bCs/>
                <w:color w:val="000000" w:themeColor="text1"/>
                <w:sz w:val="26"/>
                <w:szCs w:val="26"/>
                <w14:textFill>
                  <w14:solidFill>
                    <w14:schemeClr w14:val="tx1"/>
                  </w14:solidFill>
                </w14:textFill>
              </w:rPr>
              <w:t>项目危废暂存间</w:t>
            </w:r>
            <w:r>
              <w:rPr>
                <w:rFonts w:hint="default" w:ascii="Times New Roman" w:hAnsi="Times New Roman" w:eastAsia="宋体" w:cs="Times New Roman"/>
                <w:bCs/>
                <w:color w:val="000000" w:themeColor="text1"/>
                <w:sz w:val="26"/>
                <w:szCs w:val="26"/>
                <w:lang w:val="en-GB"/>
                <w14:textFill>
                  <w14:solidFill>
                    <w14:schemeClr w14:val="tx1"/>
                  </w14:solidFill>
                </w14:textFill>
              </w:rPr>
              <w:t>均</w:t>
            </w:r>
            <w:r>
              <w:rPr>
                <w:rFonts w:hint="default" w:ascii="Times New Roman" w:hAnsi="Times New Roman" w:eastAsia="宋体" w:cs="Times New Roman"/>
                <w:bCs/>
                <w:color w:val="000000" w:themeColor="text1"/>
                <w:sz w:val="26"/>
                <w:szCs w:val="26"/>
                <w14:textFill>
                  <w14:solidFill>
                    <w14:schemeClr w14:val="tx1"/>
                  </w14:solidFill>
                </w14:textFill>
              </w:rPr>
              <w:t>已采取“四防”措施，且设置有标签、警示标志等，满足相关环保要求。</w:t>
            </w:r>
          </w:p>
          <w:bookmarkEnd w:id="18"/>
          <w:p>
            <w:pPr>
              <w:keepNext w:val="0"/>
              <w:keepLines w:val="0"/>
              <w:pageBreakBefore w:val="0"/>
              <w:kinsoku/>
              <w:wordWrap/>
              <w:overflowPunct/>
              <w:topLinePunct w:val="0"/>
              <w:autoSpaceDE/>
              <w:autoSpaceDN/>
              <w:bidi w:val="0"/>
              <w:adjustRightInd w:val="0"/>
              <w:spacing w:after="0" w:line="460" w:lineRule="exact"/>
              <w:ind w:firstLine="520" w:firstLineChars="200"/>
              <w:textAlignment w:val="auto"/>
              <w:rPr>
                <w:rFonts w:hint="default" w:ascii="Times New Roman" w:hAnsi="Times New Roman" w:eastAsia="宋体" w:cs="Times New Roman"/>
                <w:bCs/>
                <w:color w:val="000000" w:themeColor="text1"/>
                <w:sz w:val="26"/>
                <w:szCs w:val="26"/>
                <w14:textFill>
                  <w14:solidFill>
                    <w14:schemeClr w14:val="tx1"/>
                  </w14:solidFill>
                </w14:textFill>
              </w:rPr>
            </w:pPr>
            <w:bookmarkStart w:id="19" w:name="_Hlk100912580"/>
            <w:r>
              <w:rPr>
                <w:rFonts w:hint="default" w:ascii="Times New Roman" w:hAnsi="Times New Roman" w:eastAsia="宋体" w:cs="Times New Roman"/>
                <w:bCs/>
                <w:color w:val="000000" w:themeColor="text1"/>
                <w:sz w:val="26"/>
                <w:szCs w:val="26"/>
                <w14:textFill>
                  <w14:solidFill>
                    <w14:schemeClr w14:val="tx1"/>
                  </w14:solidFill>
                </w14:textFill>
              </w:rPr>
              <w:t>项目厂区产生一般工业固废主要包括</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，在</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厂房西南侧</w:t>
            </w:r>
            <w:r>
              <w:rPr>
                <w:rFonts w:hint="default" w:ascii="Times New Roman" w:hAnsi="Times New Roman" w:eastAsia="宋体" w:cs="Times New Roman"/>
                <w:bCs/>
                <w:color w:val="000000" w:themeColor="text1"/>
                <w:sz w:val="26"/>
                <w:szCs w:val="26"/>
                <w:lang w:val="en-GB"/>
                <w14:textFill>
                  <w14:solidFill>
                    <w14:schemeClr w14:val="tx1"/>
                  </w14:solidFill>
                </w14:textFill>
              </w:rPr>
              <w:t>设置有1处</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20</w:t>
            </w:r>
            <w:r>
              <w:rPr>
                <w:rFonts w:hint="default" w:ascii="Times New Roman" w:hAnsi="Times New Roman" w:eastAsia="宋体" w:cs="Times New Roman"/>
                <w:bCs/>
                <w:color w:val="000000" w:themeColor="text1"/>
                <w:sz w:val="26"/>
                <w:szCs w:val="26"/>
                <w:lang w:val="en-GB"/>
                <w14:textFill>
                  <w14:solidFill>
                    <w14:schemeClr w14:val="tx1"/>
                  </w14:solidFill>
                </w14:textFill>
              </w:rPr>
              <w:t>m</w:t>
            </w:r>
            <w:r>
              <w:rPr>
                <w:rFonts w:hint="default" w:ascii="Times New Roman" w:hAnsi="Times New Roman" w:eastAsia="宋体" w:cs="Times New Roman"/>
                <w:bCs/>
                <w:color w:val="000000" w:themeColor="text1"/>
                <w:sz w:val="26"/>
                <w:szCs w:val="26"/>
                <w:vertAlign w:val="superscript"/>
                <w:lang w:val="en-GB"/>
                <w14:textFill>
                  <w14:solidFill>
                    <w14:schemeClr w14:val="tx1"/>
                  </w14:solidFill>
                </w14:textFill>
              </w:rPr>
              <w:t>2</w:t>
            </w:r>
            <w:r>
              <w:rPr>
                <w:rFonts w:hint="default" w:ascii="Times New Roman" w:hAnsi="Times New Roman" w:eastAsia="宋体" w:cs="Times New Roman"/>
                <w:bCs/>
                <w:color w:val="000000" w:themeColor="text1"/>
                <w:sz w:val="26"/>
                <w:szCs w:val="26"/>
                <w:lang w:val="en-GB"/>
                <w14:textFill>
                  <w14:solidFill>
                    <w14:schemeClr w14:val="tx1"/>
                  </w14:solidFill>
                </w14:textFill>
              </w:rPr>
              <w:t>的一般固废暂存区。</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金属废料</w:t>
            </w:r>
            <w:r>
              <w:rPr>
                <w:rFonts w:hint="default" w:ascii="Times New Roman" w:hAnsi="Times New Roman" w:eastAsia="宋体" w:cs="Times New Roman"/>
                <w:bCs/>
                <w:color w:val="000000" w:themeColor="text1"/>
                <w:sz w:val="26"/>
                <w:szCs w:val="26"/>
                <w14:textFill>
                  <w14:solidFill>
                    <w14:schemeClr w14:val="tx1"/>
                  </w14:solidFill>
                </w14:textFill>
              </w:rPr>
              <w:t>、废</w:t>
            </w:r>
            <w:r>
              <w:rPr>
                <w:rFonts w:hint="default" w:ascii="Times New Roman" w:hAnsi="Times New Roman" w:eastAsia="宋体" w:cs="Times New Roman"/>
                <w:bCs/>
                <w:color w:val="000000" w:themeColor="text1"/>
                <w:sz w:val="26"/>
                <w:szCs w:val="26"/>
                <w:lang w:val="en-US" w:eastAsia="zh-CN"/>
                <w14:textFill>
                  <w14:solidFill>
                    <w14:schemeClr w14:val="tx1"/>
                  </w14:solidFill>
                </w14:textFill>
              </w:rPr>
              <w:t>玻璃、不合格品、废滤芯、废金属粉末</w:t>
            </w:r>
            <w:r>
              <w:rPr>
                <w:rFonts w:hint="default" w:ascii="Times New Roman" w:hAnsi="Times New Roman" w:eastAsia="宋体" w:cs="Times New Roman"/>
                <w:bCs/>
                <w:color w:val="000000" w:themeColor="text1"/>
                <w:sz w:val="26"/>
                <w:szCs w:val="26"/>
                <w14:textFill>
                  <w14:solidFill>
                    <w14:schemeClr w14:val="tx1"/>
                  </w14:solidFill>
                </w14:textFill>
              </w:rPr>
              <w:t>收集后暂存于一般固废暂存区定期外卖废品回收站。</w:t>
            </w:r>
            <w:r>
              <w:rPr>
                <w:rFonts w:hint="default" w:ascii="Times New Roman" w:hAnsi="Times New Roman" w:eastAsia="宋体" w:cs="Times New Roman"/>
                <w:bCs/>
                <w:color w:val="000000" w:themeColor="text1"/>
                <w:sz w:val="26"/>
                <w:szCs w:val="26"/>
                <w:lang w:val="en-GB"/>
                <w14:textFill>
                  <w14:solidFill>
                    <w14:schemeClr w14:val="tx1"/>
                  </w14:solidFill>
                </w14:textFill>
              </w:rPr>
              <w:t>项目一般固废暂存间均</w:t>
            </w:r>
            <w:r>
              <w:rPr>
                <w:rFonts w:hint="default" w:ascii="Times New Roman" w:hAnsi="Times New Roman" w:eastAsia="宋体" w:cs="Times New Roman"/>
                <w:bCs/>
                <w:color w:val="000000" w:themeColor="text1"/>
                <w:sz w:val="26"/>
                <w:szCs w:val="26"/>
                <w14:textFill>
                  <w14:solidFill>
                    <w14:schemeClr w14:val="tx1"/>
                  </w14:solidFill>
                </w14:textFill>
              </w:rPr>
              <w:t>满足相应防渗漏、防雨淋、防扬尘等环境保护要求。</w:t>
            </w:r>
          </w:p>
          <w:bookmarkEnd w:id="19"/>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bookmarkStart w:id="20" w:name="_Hlk100912595"/>
            <w:r>
              <w:rPr>
                <w:rFonts w:hint="default" w:ascii="Times New Roman" w:hAnsi="Times New Roman" w:eastAsia="宋体" w:cs="Times New Roman"/>
                <w:bCs/>
                <w:color w:val="000000" w:themeColor="text1"/>
                <w:sz w:val="26"/>
                <w:szCs w:val="26"/>
                <w14:textFill>
                  <w14:solidFill>
                    <w14:schemeClr w14:val="tx1"/>
                  </w14:solidFill>
                </w14:textFill>
              </w:rPr>
              <w:t>办公区及厂房内均设有生活垃圾收集桶，由环卫部门每天清运处置</w:t>
            </w:r>
            <w:bookmarkEnd w:id="20"/>
            <w:r>
              <w:rPr>
                <w:rFonts w:hint="default" w:ascii="Times New Roman" w:hAnsi="Times New Roman" w:eastAsia="宋体" w:cs="Times New Roman"/>
                <w:bCs/>
                <w:color w:val="000000" w:themeColor="text1"/>
                <w:sz w:val="26"/>
                <w:szCs w:val="26"/>
                <w14:textFill>
                  <w14:solidFill>
                    <w14:schemeClr w14:val="tx1"/>
                  </w14:solidFill>
                </w14:textFill>
              </w:rPr>
              <w:t>。</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项目固体废物处置方式满足环评及审批要求。</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（5）环境管理</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项目环保审批手续及环保档案资料齐全；环保设施基本按环评及批复要求落实，各种环保设施运行正常；配备了环保管理人员兼职治理设施操作人员</w:t>
            </w:r>
            <w:r>
              <w:rPr>
                <w:rFonts w:hint="eastAsia" w:cs="Times New Roman"/>
                <w:bCs/>
                <w:color w:val="000000" w:themeColor="text1"/>
                <w:sz w:val="26"/>
                <w:szCs w:val="26"/>
                <w:lang w:val="en-US" w:eastAsia="zh-CN"/>
                <w14:textFill>
                  <w14:solidFill>
                    <w14:schemeClr w14:val="tx1"/>
                  </w14:solidFill>
                </w14:textFill>
              </w:rPr>
              <w:t>2</w:t>
            </w:r>
            <w:r>
              <w:rPr>
                <w:rFonts w:hint="default" w:ascii="Times New Roman" w:hAnsi="Times New Roman" w:eastAsia="宋体" w:cs="Times New Roman"/>
                <w:bCs/>
                <w:color w:val="000000" w:themeColor="text1"/>
                <w:sz w:val="26"/>
                <w:szCs w:val="26"/>
                <w14:textFill>
                  <w14:solidFill>
                    <w14:schemeClr w14:val="tx1"/>
                  </w14:solidFill>
                </w14:textFill>
              </w:rPr>
              <w:t>名，建立了相关环保管理制度，环境管理基本满足要求。</w:t>
            </w:r>
          </w:p>
          <w:p>
            <w:pPr>
              <w:pStyle w:val="34"/>
              <w:keepNext w:val="0"/>
              <w:keepLines w:val="0"/>
              <w:pageBreakBefore w:val="0"/>
              <w:numPr>
                <w:ilvl w:val="0"/>
                <w:numId w:val="1"/>
              </w:numPr>
              <w:kinsoku/>
              <w:wordWrap/>
              <w:overflowPunct/>
              <w:topLinePunct w:val="0"/>
              <w:autoSpaceDE/>
              <w:autoSpaceDN/>
              <w:bidi w:val="0"/>
              <w:adjustRightInd w:val="0"/>
              <w:spacing w:line="460" w:lineRule="exact"/>
              <w:ind w:firstLine="480"/>
              <w:textAlignment w:val="auto"/>
              <w:rPr>
                <w:rFonts w:hint="eastAsia" w:cs="Times New Roman"/>
                <w:bCs/>
                <w:color w:val="000000" w:themeColor="text1"/>
                <w:sz w:val="26"/>
                <w:szCs w:val="26"/>
                <w:lang w:val="en-US" w:eastAsia="zh-CN"/>
                <w14:textFill>
                  <w14:solidFill>
                    <w14:schemeClr w14:val="tx1"/>
                  </w14:solidFill>
                </w14:textFill>
              </w:rPr>
            </w:pPr>
            <w:r>
              <w:rPr>
                <w:rFonts w:hint="eastAsia" w:cs="Times New Roman"/>
                <w:bCs/>
                <w:color w:val="000000" w:themeColor="text1"/>
                <w:sz w:val="26"/>
                <w:szCs w:val="26"/>
                <w:lang w:val="en-US" w:eastAsia="zh-CN"/>
                <w14:textFill>
                  <w14:solidFill>
                    <w14:schemeClr w14:val="tx1"/>
                  </w14:solidFill>
                </w14:textFill>
              </w:rPr>
              <w:t>风险防控</w:t>
            </w:r>
          </w:p>
          <w:p>
            <w:pPr>
              <w:pStyle w:val="34"/>
              <w:keepNext w:val="0"/>
              <w:keepLines w:val="0"/>
              <w:pageBreakBefore w:val="0"/>
              <w:widowControl w:val="0"/>
              <w:numPr>
                <w:ilvl w:val="0"/>
                <w:numId w:val="0"/>
              </w:numPr>
              <w:kinsoku/>
              <w:wordWrap/>
              <w:overflowPunct/>
              <w:topLinePunct w:val="0"/>
              <w:autoSpaceDE/>
              <w:autoSpaceDN/>
              <w:bidi w:val="0"/>
              <w:adjustRightInd w:val="0"/>
              <w:snapToGrid/>
              <w:spacing w:line="460" w:lineRule="exact"/>
              <w:ind w:firstLine="520" w:firstLineChars="200"/>
              <w:textAlignment w:val="auto"/>
              <w:rPr>
                <w:rFonts w:hint="default" w:cs="Times New Roman"/>
                <w:bCs/>
                <w:color w:val="000000" w:themeColor="text1"/>
                <w:sz w:val="26"/>
                <w:szCs w:val="26"/>
                <w:lang w:val="en-US" w:eastAsia="zh-CN"/>
                <w14:textFill>
                  <w14:solidFill>
                    <w14:schemeClr w14:val="tx1"/>
                  </w14:solidFill>
                </w14:textFill>
              </w:rPr>
            </w:pPr>
            <w:r>
              <w:rPr>
                <w:rFonts w:hint="default" w:cs="Times New Roman"/>
                <w:bCs/>
                <w:color w:val="000000" w:themeColor="text1"/>
                <w:sz w:val="26"/>
                <w:szCs w:val="26"/>
                <w:lang w:val="en-US" w:eastAsia="zh-CN"/>
                <w14:textFill>
                  <w14:solidFill>
                    <w14:schemeClr w14:val="tx1"/>
                  </w14:solidFill>
                </w14:textFill>
              </w:rPr>
              <w:t>企业暂存的无水乙醇、丙酮、盐酸、硝酸、硫酸、氢氟酸、冰醋酸等液体物料采用密闭塑料桶或塑料瓶储存，在包装桶或瓶下方设置托盘；丙烷、乙炔气瓶应储存在防爆柜中，远离火种、热源，配置可燃气体</w:t>
            </w:r>
            <w:r>
              <w:rPr>
                <w:rFonts w:hint="eastAsia" w:cs="Times New Roman"/>
                <w:bCs/>
                <w:color w:val="000000" w:themeColor="text1"/>
                <w:sz w:val="26"/>
                <w:szCs w:val="26"/>
                <w:lang w:val="en-US" w:eastAsia="zh-CN"/>
                <w14:textFill>
                  <w14:solidFill>
                    <w14:schemeClr w14:val="tx1"/>
                  </w14:solidFill>
                </w14:textFill>
              </w:rPr>
              <w:t>泄漏</w:t>
            </w:r>
            <w:r>
              <w:rPr>
                <w:rFonts w:hint="default" w:cs="Times New Roman"/>
                <w:bCs/>
                <w:color w:val="000000" w:themeColor="text1"/>
                <w:sz w:val="26"/>
                <w:szCs w:val="26"/>
                <w:lang w:val="en-US" w:eastAsia="zh-CN"/>
                <w14:textFill>
                  <w14:solidFill>
                    <w14:schemeClr w14:val="tx1"/>
                  </w14:solidFill>
                </w14:textFill>
              </w:rPr>
              <w:t>报警器。危废暂存区及液体原料区应远离火种、热源，地面采用环氧树脂漆作防渗防腐处理；设置禁烟禁火标识标牌并配备一定数量的消防器材和吸附材料</w:t>
            </w:r>
            <w:r>
              <w:rPr>
                <w:rFonts w:hint="eastAsia" w:cs="Times New Roman"/>
                <w:bCs/>
                <w:color w:val="000000" w:themeColor="text1"/>
                <w:sz w:val="26"/>
                <w:szCs w:val="26"/>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highlight w:val="none"/>
                <w14:textFill>
                  <w14:solidFill>
                    <w14:schemeClr w14:val="tx1"/>
                  </w14:solidFill>
                </w14:textFill>
              </w:rPr>
            </w:pPr>
            <w:bookmarkStart w:id="21" w:name="_Toc512518757"/>
            <w:r>
              <w:rPr>
                <w:rFonts w:hint="default" w:ascii="Times New Roman" w:hAnsi="Times New Roman" w:eastAsia="宋体" w:cs="Times New Roman"/>
                <w:b/>
                <w:color w:val="000000" w:themeColor="text1"/>
                <w:sz w:val="26"/>
                <w:szCs w:val="26"/>
                <w:highlight w:val="none"/>
                <w14:textFill>
                  <w14:solidFill>
                    <w14:schemeClr w14:val="tx1"/>
                  </w14:solidFill>
                </w14:textFill>
              </w:rPr>
              <w:t>8.5环保设施调试效果</w:t>
            </w:r>
            <w:bookmarkEnd w:id="21"/>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（1）废水监测结果</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highlight w:val="none"/>
                <w14:textFill>
                  <w14:solidFill>
                    <w14:schemeClr w14:val="tx1"/>
                  </w14:solidFill>
                </w14:textFill>
              </w:rPr>
            </w:pPr>
            <w:bookmarkStart w:id="22" w:name="_Hlk100912625"/>
            <w:r>
              <w:rPr>
                <w:rFonts w:hint="default" w:ascii="Times New Roman" w:hAnsi="Times New Roman" w:eastAsia="宋体" w:cs="Times New Roman"/>
                <w:bCs/>
                <w:color w:val="000000" w:themeColor="text1"/>
                <w:sz w:val="26"/>
                <w:szCs w:val="26"/>
                <w:highlight w:val="none"/>
                <w14:textFill>
                  <w14:solidFill>
                    <w14:schemeClr w14:val="tx1"/>
                  </w14:solidFill>
                </w14:textFill>
              </w:rPr>
              <w:t>验收监测期间，项目</w:t>
            </w:r>
            <w:r>
              <w:rPr>
                <w:rFonts w:hint="eastAsia" w:cs="Times New Roman"/>
                <w:bCs/>
                <w:color w:val="000000" w:themeColor="text1"/>
                <w:sz w:val="26"/>
                <w:szCs w:val="26"/>
                <w:highlight w:val="none"/>
                <w:lang w:val="en-US" w:eastAsia="zh-CN"/>
                <w14:textFill>
                  <w14:solidFill>
                    <w14:schemeClr w14:val="tx1"/>
                  </w14:solidFill>
                </w14:textFill>
              </w:rPr>
              <w:t>生产废水处理排口pH、COD、SS、氨氮、BOD</w:t>
            </w:r>
            <w:r>
              <w:rPr>
                <w:rFonts w:hint="eastAsia" w:cs="Times New Roman"/>
                <w:bCs/>
                <w:color w:val="000000" w:themeColor="text1"/>
                <w:sz w:val="26"/>
                <w:szCs w:val="26"/>
                <w:highlight w:val="none"/>
                <w:vertAlign w:val="subscript"/>
                <w:lang w:val="en-US" w:eastAsia="zh-CN"/>
                <w14:textFill>
                  <w14:solidFill>
                    <w14:schemeClr w14:val="tx1"/>
                  </w14:solidFill>
                </w14:textFill>
              </w:rPr>
              <w:t>5</w:t>
            </w:r>
            <w:r>
              <w:rPr>
                <w:rFonts w:hint="eastAsia" w:cs="Times New Roman"/>
                <w:bCs/>
                <w:color w:val="000000" w:themeColor="text1"/>
                <w:sz w:val="26"/>
                <w:szCs w:val="26"/>
                <w:highlight w:val="none"/>
                <w:lang w:val="en-US" w:eastAsia="zh-CN"/>
                <w14:textFill>
                  <w14:solidFill>
                    <w14:schemeClr w14:val="tx1"/>
                  </w14:solidFill>
                </w14:textFill>
              </w:rPr>
              <w:t>、总铜、总镍、石油类、氟化物、LAS均满足《电子工业水污染物排放标准》（GB 8978-1996）表1标准，</w:t>
            </w:r>
            <w:r>
              <w:rPr>
                <w:rFonts w:hint="default" w:ascii="Times New Roman" w:hAnsi="Times New Roman" w:eastAsia="宋体" w:cs="Times New Roman"/>
                <w:bCs/>
                <w:color w:val="000000" w:themeColor="text1"/>
                <w:sz w:val="26"/>
                <w:szCs w:val="26"/>
                <w:highlight w:val="none"/>
                <w14:textFill>
                  <w14:solidFill>
                    <w14:schemeClr w14:val="tx1"/>
                  </w14:solidFill>
                </w14:textFill>
              </w:rPr>
              <w:t>生化池废水排放口pH值、COD、</w:t>
            </w:r>
            <w:r>
              <w:rPr>
                <w:rFonts w:hint="default" w:ascii="Times New Roman" w:hAnsi="Times New Roman" w:eastAsia="宋体" w:cs="Times New Roman"/>
                <w:bCs/>
                <w:color w:val="000000" w:themeColor="text1"/>
                <w:sz w:val="26"/>
                <w:szCs w:val="26"/>
                <w:highlight w:val="none"/>
                <w:lang w:val="en-GB"/>
                <w14:textFill>
                  <w14:solidFill>
                    <w14:schemeClr w14:val="tx1"/>
                  </w14:solidFill>
                </w14:textFill>
              </w:rPr>
              <w:t>BOD</w:t>
            </w:r>
            <w:r>
              <w:rPr>
                <w:rFonts w:hint="default" w:ascii="Times New Roman" w:hAnsi="Times New Roman" w:eastAsia="宋体" w:cs="Times New Roman"/>
                <w:bCs/>
                <w:color w:val="000000" w:themeColor="text1"/>
                <w:sz w:val="26"/>
                <w:szCs w:val="26"/>
                <w:highlight w:val="none"/>
                <w:vertAlign w:val="subscript"/>
                <w:lang w:val="en-GB"/>
                <w14:textFill>
                  <w14:solidFill>
                    <w14:schemeClr w14:val="tx1"/>
                  </w14:solidFill>
                </w14:textFill>
              </w:rPr>
              <w:t>5</w:t>
            </w:r>
            <w:r>
              <w:rPr>
                <w:rFonts w:hint="default" w:ascii="Times New Roman" w:hAnsi="Times New Roman" w:eastAsia="宋体" w:cs="Times New Roman"/>
                <w:bCs/>
                <w:color w:val="000000" w:themeColor="text1"/>
                <w:sz w:val="26"/>
                <w:szCs w:val="26"/>
                <w:highlight w:val="none"/>
                <w14:textFill>
                  <w14:solidFill>
                    <w14:schemeClr w14:val="tx1"/>
                  </w14:solidFill>
                </w14:textFill>
              </w:rPr>
              <w:t>、SS均满足《污水综合排放标准》（GB8978-1996）</w:t>
            </w:r>
            <w:r>
              <w:rPr>
                <w:rFonts w:hint="eastAsia" w:cs="Times New Roman"/>
                <w:bCs/>
                <w:color w:val="000000" w:themeColor="text1"/>
                <w:sz w:val="26"/>
                <w:szCs w:val="26"/>
                <w:highlight w:val="none"/>
                <w:lang w:val="en-US" w:eastAsia="zh-CN"/>
                <w14:textFill>
                  <w14:solidFill>
                    <w14:schemeClr w14:val="tx1"/>
                  </w14:solidFill>
                </w14:textFill>
              </w:rPr>
              <w:t>三</w:t>
            </w:r>
            <w:r>
              <w:rPr>
                <w:rFonts w:hint="default" w:ascii="Times New Roman" w:hAnsi="Times New Roman" w:eastAsia="宋体" w:cs="Times New Roman"/>
                <w:bCs/>
                <w:color w:val="000000" w:themeColor="text1"/>
                <w:sz w:val="26"/>
                <w:szCs w:val="26"/>
                <w:highlight w:val="none"/>
                <w14:textFill>
                  <w14:solidFill>
                    <w14:schemeClr w14:val="tx1"/>
                  </w14:solidFill>
                </w14:textFill>
              </w:rPr>
              <w:t>级标准</w:t>
            </w:r>
            <w:r>
              <w:rPr>
                <w:rFonts w:hint="eastAsia" w:cs="Times New Roman"/>
                <w:bCs/>
                <w:color w:val="000000" w:themeColor="text1"/>
                <w:sz w:val="26"/>
                <w:szCs w:val="26"/>
                <w:highlight w:val="none"/>
                <w:lang w:eastAsia="zh-CN"/>
                <w14:textFill>
                  <w14:solidFill>
                    <w14:schemeClr w14:val="tx1"/>
                  </w14:solidFill>
                </w14:textFill>
              </w:rPr>
              <w:t>，</w:t>
            </w:r>
            <w:r>
              <w:rPr>
                <w:rFonts w:hint="eastAsia" w:cs="Times New Roman"/>
                <w:bCs/>
                <w:color w:val="000000" w:themeColor="text1"/>
                <w:sz w:val="26"/>
                <w:szCs w:val="26"/>
                <w:highlight w:val="none"/>
                <w:lang w:val="en-US" w:eastAsia="zh-CN"/>
                <w14:textFill>
                  <w14:solidFill>
                    <w14:schemeClr w14:val="tx1"/>
                  </w14:solidFill>
                </w14:textFill>
              </w:rPr>
              <w:t>氨氮满足《污水排入城镇下水道水质标准》（GB/T 31962-2015）</w:t>
            </w:r>
            <w:r>
              <w:rPr>
                <w:rFonts w:hint="default" w:ascii="Times New Roman" w:hAnsi="Times New Roman" w:eastAsia="宋体" w:cs="Times New Roman"/>
                <w:bCs/>
                <w:color w:val="000000" w:themeColor="text1"/>
                <w:sz w:val="26"/>
                <w:szCs w:val="26"/>
                <w:highlight w:val="none"/>
                <w14:textFill>
                  <w14:solidFill>
                    <w14:schemeClr w14:val="tx1"/>
                  </w14:solidFill>
                </w14:textFill>
              </w:rPr>
              <w:t>，</w:t>
            </w:r>
            <w:bookmarkEnd w:id="22"/>
            <w:r>
              <w:rPr>
                <w:rFonts w:hint="default" w:ascii="Times New Roman" w:hAnsi="Times New Roman" w:eastAsia="宋体" w:cs="Times New Roman"/>
                <w:bCs/>
                <w:color w:val="000000" w:themeColor="text1"/>
                <w:sz w:val="26"/>
                <w:szCs w:val="26"/>
                <w:highlight w:val="none"/>
                <w14:textFill>
                  <w14:solidFill>
                    <w14:schemeClr w14:val="tx1"/>
                  </w14:solidFill>
                </w14:textFill>
              </w:rPr>
              <w:t>满足验收要求。</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highlight w:val="none"/>
                <w14:textFill>
                  <w14:solidFill>
                    <w14:schemeClr w14:val="tx1"/>
                  </w14:solidFill>
                </w14:textFill>
              </w:rPr>
            </w:pPr>
            <w:r>
              <w:rPr>
                <w:rFonts w:hint="default" w:ascii="Times New Roman" w:hAnsi="Times New Roman" w:eastAsia="宋体" w:cs="Times New Roman"/>
                <w:bCs/>
                <w:color w:val="000000" w:themeColor="text1"/>
                <w:sz w:val="26"/>
                <w:szCs w:val="26"/>
                <w:highlight w:val="none"/>
                <w14:textFill>
                  <w14:solidFill>
                    <w14:schemeClr w14:val="tx1"/>
                  </w14:solidFill>
                </w14:textFill>
              </w:rPr>
              <w:t>经核算，本项目废水污染物均未超过环评批复总量指标要求。</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（2）废气监测结果</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highlight w:val="none"/>
                <w14:textFill>
                  <w14:solidFill>
                    <w14:schemeClr w14:val="tx1"/>
                  </w14:solidFill>
                </w14:textFill>
              </w:rPr>
            </w:pPr>
            <w:r>
              <w:rPr>
                <w:rFonts w:hint="default" w:ascii="Times New Roman" w:hAnsi="Times New Roman" w:eastAsia="宋体" w:cs="Times New Roman"/>
                <w:bCs/>
                <w:color w:val="000000" w:themeColor="text1"/>
                <w:sz w:val="26"/>
                <w:szCs w:val="26"/>
                <w:highlight w:val="none"/>
                <w14:textFill>
                  <w14:solidFill>
                    <w14:schemeClr w14:val="tx1"/>
                  </w14:solidFill>
                </w14:textFill>
              </w:rPr>
              <w:t>验收监测期间，</w:t>
            </w:r>
            <w:bookmarkStart w:id="23" w:name="_Hlk100912642"/>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生产废气</w:t>
            </w:r>
            <w:r>
              <w:rPr>
                <w:rFonts w:hint="default" w:ascii="Times New Roman" w:hAnsi="Times New Roman" w:eastAsia="宋体" w:cs="Times New Roman"/>
                <w:bCs/>
                <w:color w:val="000000" w:themeColor="text1"/>
                <w:sz w:val="26"/>
                <w:szCs w:val="26"/>
                <w:highlight w:val="none"/>
                <w14:textFill>
                  <w14:solidFill>
                    <w14:schemeClr w14:val="tx1"/>
                  </w14:solidFill>
                </w14:textFill>
              </w:rPr>
              <w:t>（</w:t>
            </w:r>
            <w:r>
              <w:rPr>
                <w:rFonts w:hint="eastAsia" w:cs="Times New Roman"/>
                <w:bCs/>
                <w:color w:val="000000" w:themeColor="text1"/>
                <w:sz w:val="26"/>
                <w:szCs w:val="26"/>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6"/>
                <w:szCs w:val="26"/>
                <w:highlight w:val="none"/>
                <w14:textFill>
                  <w14:solidFill>
                    <w14:schemeClr w14:val="tx1"/>
                  </w14:solidFill>
                </w14:textFill>
              </w:rPr>
              <w:t>排气筒）排放口</w:t>
            </w:r>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氯化氢、硫酸雾、氟化物、氮氧化物、非甲烷总烃</w:t>
            </w:r>
            <w:r>
              <w:rPr>
                <w:rFonts w:hint="default" w:ascii="Times New Roman" w:hAnsi="Times New Roman" w:eastAsia="宋体" w:cs="Times New Roman"/>
                <w:bCs/>
                <w:color w:val="000000" w:themeColor="text1"/>
                <w:sz w:val="26"/>
                <w:szCs w:val="26"/>
                <w:highlight w:val="none"/>
                <w14:textFill>
                  <w14:solidFill>
                    <w14:schemeClr w14:val="tx1"/>
                  </w14:solidFill>
                </w14:textFill>
              </w:rPr>
              <w:t>排放浓度</w:t>
            </w:r>
            <w:r>
              <w:rPr>
                <w:rFonts w:hint="eastAsia" w:cs="Times New Roman"/>
                <w:bCs/>
                <w:color w:val="000000" w:themeColor="text1"/>
                <w:sz w:val="26"/>
                <w:szCs w:val="26"/>
                <w:highlight w:val="none"/>
                <w:lang w:val="en-US" w:eastAsia="zh-CN"/>
                <w14:textFill>
                  <w14:solidFill>
                    <w14:schemeClr w14:val="tx1"/>
                  </w14:solidFill>
                </w14:textFill>
              </w:rPr>
              <w:t>均</w:t>
            </w:r>
            <w:r>
              <w:rPr>
                <w:rFonts w:hint="default" w:ascii="Times New Roman" w:hAnsi="Times New Roman" w:eastAsia="宋体" w:cs="Times New Roman"/>
                <w:bCs/>
                <w:color w:val="000000" w:themeColor="text1"/>
                <w:sz w:val="26"/>
                <w:szCs w:val="26"/>
                <w:highlight w:val="none"/>
                <w14:textFill>
                  <w14:solidFill>
                    <w14:schemeClr w14:val="tx1"/>
                  </w14:solidFill>
                </w14:textFill>
              </w:rPr>
              <w:t>满足</w:t>
            </w:r>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《大气污染物综合排放标准》（DB50/418-2016）</w:t>
            </w:r>
            <w:r>
              <w:rPr>
                <w:rFonts w:hint="default" w:ascii="Times New Roman" w:hAnsi="Times New Roman" w:eastAsia="宋体" w:cs="Times New Roman"/>
                <w:bCs/>
                <w:color w:val="000000" w:themeColor="text1"/>
                <w:sz w:val="26"/>
                <w:szCs w:val="26"/>
                <w:highlight w:val="none"/>
                <w14:textFill>
                  <w14:solidFill>
                    <w14:schemeClr w14:val="tx1"/>
                  </w14:solidFill>
                </w14:textFill>
              </w:rPr>
              <w:t>；项目无组织排放废气的</w:t>
            </w:r>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氯化氢、硫酸雾、氟化物、氮氧化物、</w:t>
            </w:r>
            <w:r>
              <w:rPr>
                <w:rFonts w:hint="default" w:ascii="Times New Roman" w:hAnsi="Times New Roman" w:eastAsia="宋体" w:cs="Times New Roman"/>
                <w:bCs/>
                <w:color w:val="000000" w:themeColor="text1"/>
                <w:sz w:val="26"/>
                <w:szCs w:val="26"/>
                <w:highlight w:val="none"/>
                <w:lang w:eastAsia="zh-CN"/>
                <w14:textFill>
                  <w14:solidFill>
                    <w14:schemeClr w14:val="tx1"/>
                  </w14:solidFill>
                </w14:textFill>
              </w:rPr>
              <w:t>非甲烷总烃、</w:t>
            </w:r>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颗粒物、二氧化硫</w:t>
            </w:r>
            <w:r>
              <w:rPr>
                <w:rFonts w:hint="default" w:ascii="Times New Roman" w:hAnsi="Times New Roman" w:eastAsia="宋体" w:cs="Times New Roman"/>
                <w:bCs/>
                <w:color w:val="000000" w:themeColor="text1"/>
                <w:sz w:val="26"/>
                <w:szCs w:val="26"/>
                <w:highlight w:val="none"/>
                <w14:textFill>
                  <w14:solidFill>
                    <w14:schemeClr w14:val="tx1"/>
                  </w14:solidFill>
                </w14:textFill>
              </w:rPr>
              <w:t>均满足</w:t>
            </w:r>
            <w:bookmarkEnd w:id="23"/>
            <w:r>
              <w:rPr>
                <w:rFonts w:hint="default" w:ascii="Times New Roman" w:hAnsi="Times New Roman" w:eastAsia="宋体" w:cs="Times New Roman"/>
                <w:bCs/>
                <w:color w:val="000000" w:themeColor="text1"/>
                <w:sz w:val="26"/>
                <w:szCs w:val="26"/>
                <w:highlight w:val="none"/>
                <w:lang w:val="en-US" w:eastAsia="zh-CN"/>
                <w14:textFill>
                  <w14:solidFill>
                    <w14:schemeClr w14:val="tx1"/>
                  </w14:solidFill>
                </w14:textFill>
              </w:rPr>
              <w:t>《大气污染物综合排放标准》（DB50/418-2016）</w:t>
            </w:r>
            <w:r>
              <w:rPr>
                <w:rFonts w:hint="eastAsia" w:cs="Times New Roman"/>
                <w:bCs/>
                <w:color w:val="000000" w:themeColor="text1"/>
                <w:sz w:val="26"/>
                <w:szCs w:val="26"/>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6"/>
                <w:szCs w:val="26"/>
                <w:highlight w:val="none"/>
                <w14:textFill>
                  <w14:solidFill>
                    <w14:schemeClr w14:val="tx1"/>
                  </w14:solidFill>
                </w14:textFill>
              </w:rPr>
              <w:t>满足验收要求。</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经核算，本项目废气污染物年排放总量未超过环评批复总量指标要求。</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（3）厂界噪声监测结果</w:t>
            </w:r>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bCs/>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验收监测期间，项目厂界噪声监测点昼间</w:t>
            </w:r>
            <w:r>
              <w:rPr>
                <w:rFonts w:hint="eastAsia" w:cs="Times New Roman"/>
                <w:bCs/>
                <w:color w:val="000000" w:themeColor="text1"/>
                <w:sz w:val="26"/>
                <w:szCs w:val="26"/>
                <w:lang w:eastAsia="zh-CN"/>
                <w14:textFill>
                  <w14:solidFill>
                    <w14:schemeClr w14:val="tx1"/>
                  </w14:solidFill>
                </w14:textFill>
              </w:rPr>
              <w:t>、</w:t>
            </w:r>
            <w:r>
              <w:rPr>
                <w:rFonts w:hint="eastAsia" w:cs="Times New Roman"/>
                <w:bCs/>
                <w:color w:val="000000" w:themeColor="text1"/>
                <w:sz w:val="26"/>
                <w:szCs w:val="26"/>
                <w:lang w:val="en-US" w:eastAsia="zh-CN"/>
                <w14:textFill>
                  <w14:solidFill>
                    <w14:schemeClr w14:val="tx1"/>
                  </w14:solidFill>
                </w14:textFill>
              </w:rPr>
              <w:t>夜间</w:t>
            </w:r>
            <w:r>
              <w:rPr>
                <w:rFonts w:hint="default" w:ascii="Times New Roman" w:hAnsi="Times New Roman" w:eastAsia="宋体" w:cs="Times New Roman"/>
                <w:bCs/>
                <w:color w:val="000000" w:themeColor="text1"/>
                <w:sz w:val="26"/>
                <w:szCs w:val="26"/>
                <w14:textFill>
                  <w14:solidFill>
                    <w14:schemeClr w14:val="tx1"/>
                  </w14:solidFill>
                </w14:textFill>
              </w:rPr>
              <w:t>噪声均满足《工业企业厂界环境噪声排放标准》（GB12348-2008）中3类标准限值要求，</w:t>
            </w:r>
            <w:bookmarkStart w:id="24" w:name="_Hlk100910104"/>
            <w:r>
              <w:rPr>
                <w:rFonts w:hint="default" w:ascii="Times New Roman" w:hAnsi="Times New Roman" w:eastAsia="宋体" w:cs="Times New Roman"/>
                <w:bCs/>
                <w:color w:val="000000" w:themeColor="text1"/>
                <w:sz w:val="26"/>
                <w:szCs w:val="26"/>
                <w14:textFill>
                  <w14:solidFill>
                    <w14:schemeClr w14:val="tx1"/>
                  </w14:solidFill>
                </w14:textFill>
              </w:rPr>
              <w:t>满足验收要求</w:t>
            </w:r>
            <w:bookmarkEnd w:id="24"/>
            <w:r>
              <w:rPr>
                <w:rFonts w:hint="default" w:ascii="Times New Roman" w:hAnsi="Times New Roman" w:eastAsia="宋体" w:cs="Times New Roman"/>
                <w:bCs/>
                <w:color w:val="000000" w:themeColor="text1"/>
                <w:sz w:val="26"/>
                <w:szCs w:val="26"/>
                <w14:textFill>
                  <w14:solidFill>
                    <w14:schemeClr w14:val="tx1"/>
                  </w14:solidFill>
                </w14:textFill>
              </w:rPr>
              <w:t>。</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25" w:name="_Toc512518758"/>
            <w:r>
              <w:rPr>
                <w:rFonts w:hint="default" w:ascii="Times New Roman" w:hAnsi="Times New Roman" w:eastAsia="宋体" w:cs="Times New Roman"/>
                <w:b/>
                <w:color w:val="000000" w:themeColor="text1"/>
                <w:sz w:val="26"/>
                <w:szCs w:val="26"/>
                <w14:textFill>
                  <w14:solidFill>
                    <w14:schemeClr w14:val="tx1"/>
                  </w14:solidFill>
                </w14:textFill>
              </w:rPr>
              <w:t>8.6验收结论</w:t>
            </w:r>
            <w:bookmarkEnd w:id="25"/>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color w:val="000000" w:themeColor="text1"/>
                <w:sz w:val="26"/>
                <w:szCs w:val="26"/>
                <w14:textFill>
                  <w14:solidFill>
                    <w14:schemeClr w14:val="tx1"/>
                  </w14:solidFill>
                </w14:textFill>
              </w:rPr>
              <w:t>综上所述，该</w:t>
            </w:r>
            <w:r>
              <w:rPr>
                <w:rFonts w:hint="default" w:ascii="Times New Roman" w:hAnsi="Times New Roman" w:eastAsia="宋体" w:cs="Times New Roman"/>
                <w:bCs/>
                <w:color w:val="000000" w:themeColor="text1"/>
                <w:sz w:val="26"/>
                <w:szCs w:val="26"/>
                <w14:textFill>
                  <w14:solidFill>
                    <w14:schemeClr w14:val="tx1"/>
                  </w14:solidFill>
                </w14:textFill>
              </w:rPr>
              <w:t>项目落实了环保设施“三同时”制度，</w:t>
            </w:r>
            <w:r>
              <w:rPr>
                <w:rFonts w:hint="default" w:ascii="Times New Roman" w:hAnsi="Times New Roman" w:eastAsia="宋体" w:cs="Times New Roman"/>
                <w:color w:val="000000" w:themeColor="text1"/>
                <w:sz w:val="26"/>
                <w:szCs w:val="26"/>
                <w14:textFill>
                  <w14:solidFill>
                    <w14:schemeClr w14:val="tx1"/>
                  </w14:solidFill>
                </w14:textFill>
              </w:rPr>
              <w:t>环保设施总体按环评及批复要求落实，各环保设施运行正常，排放的污染物满足验收标准要求，项目建设过程变动的内容不属于重大变动，符合验收条件，同意通过竣工环境保护验收。</w:t>
            </w:r>
          </w:p>
          <w:p>
            <w:pPr>
              <w:keepNext w:val="0"/>
              <w:keepLines w:val="0"/>
              <w:pageBreakBefore w:val="0"/>
              <w:kinsoku/>
              <w:wordWrap/>
              <w:overflowPunct/>
              <w:topLinePunct w:val="0"/>
              <w:autoSpaceDE/>
              <w:autoSpaceDN/>
              <w:bidi w:val="0"/>
              <w:adjustRightInd w:val="0"/>
              <w:spacing w:after="0" w:line="460" w:lineRule="exact"/>
              <w:textAlignment w:val="auto"/>
              <w:rPr>
                <w:rFonts w:hint="default" w:ascii="Times New Roman" w:hAnsi="Times New Roman" w:eastAsia="宋体" w:cs="Times New Roman"/>
                <w:b/>
                <w:color w:val="000000" w:themeColor="text1"/>
                <w:sz w:val="26"/>
                <w:szCs w:val="26"/>
                <w14:textFill>
                  <w14:solidFill>
                    <w14:schemeClr w14:val="tx1"/>
                  </w14:solidFill>
                </w14:textFill>
              </w:rPr>
            </w:pPr>
            <w:bookmarkStart w:id="26" w:name="_Toc512518759"/>
            <w:r>
              <w:rPr>
                <w:rFonts w:hint="default" w:ascii="Times New Roman" w:hAnsi="Times New Roman" w:eastAsia="宋体" w:cs="Times New Roman"/>
                <w:b/>
                <w:color w:val="000000" w:themeColor="text1"/>
                <w:sz w:val="26"/>
                <w:szCs w:val="26"/>
                <w14:textFill>
                  <w14:solidFill>
                    <w14:schemeClr w14:val="tx1"/>
                  </w14:solidFill>
                </w14:textFill>
              </w:rPr>
              <w:t>8.7建议</w:t>
            </w:r>
            <w:bookmarkEnd w:id="26"/>
          </w:p>
          <w:p>
            <w:pPr>
              <w:pStyle w:val="34"/>
              <w:keepNext w:val="0"/>
              <w:keepLines w:val="0"/>
              <w:pageBreakBefore w:val="0"/>
              <w:kinsoku/>
              <w:wordWrap/>
              <w:overflowPunct/>
              <w:topLinePunct w:val="0"/>
              <w:autoSpaceDE/>
              <w:autoSpaceDN/>
              <w:bidi w:val="0"/>
              <w:adjustRightInd w:val="0"/>
              <w:spacing w:line="460" w:lineRule="exact"/>
              <w:ind w:firstLine="480"/>
              <w:textAlignment w:val="auto"/>
              <w:rPr>
                <w:rFonts w:hint="default" w:ascii="Times New Roman" w:hAnsi="Times New Roman" w:eastAsia="宋体" w:cs="Times New Roman"/>
                <w:color w:val="000000" w:themeColor="text1"/>
                <w:sz w:val="26"/>
                <w:szCs w:val="26"/>
                <w14:textFill>
                  <w14:solidFill>
                    <w14:schemeClr w14:val="tx1"/>
                  </w14:solidFill>
                </w14:textFill>
              </w:rPr>
            </w:pPr>
            <w:r>
              <w:rPr>
                <w:rFonts w:hint="default" w:ascii="Times New Roman" w:hAnsi="Times New Roman" w:eastAsia="宋体" w:cs="Times New Roman"/>
                <w:bCs/>
                <w:color w:val="000000" w:themeColor="text1"/>
                <w:sz w:val="26"/>
                <w:szCs w:val="26"/>
                <w14:textFill>
                  <w14:solidFill>
                    <w14:schemeClr w14:val="tx1"/>
                  </w14:solidFill>
                </w14:textFill>
              </w:rPr>
              <w:t>企业应加强对各类环保设施的运行管理和日常维护，加强对企业员工的操作培训，确保污染物长期稳定达标排放。同时应加强环保设施日常监管记录，做好固废处置记录等，特别是危险废物的转移台账记录</w:t>
            </w:r>
            <w:r>
              <w:rPr>
                <w:rFonts w:hint="default" w:ascii="Times New Roman" w:hAnsi="Times New Roman" w:eastAsia="宋体" w:cs="Times New Roman"/>
                <w:color w:val="000000" w:themeColor="text1"/>
                <w:sz w:val="26"/>
                <w:szCs w:val="26"/>
                <w14:textFill>
                  <w14:solidFill>
                    <w14:schemeClr w14:val="tx1"/>
                  </w14:solidFill>
                </w14:textFill>
              </w:rPr>
              <w:t>。</w:t>
            </w:r>
          </w:p>
          <w:p>
            <w:pPr>
              <w:widowControl w:val="0"/>
              <w:spacing w:before="62" w:beforeLines="20" w:after="0" w:line="460" w:lineRule="atLeast"/>
              <w:jc w:val="both"/>
              <w:rPr>
                <w:rFonts w:hint="default" w:ascii="Times New Roman" w:hAnsi="Times New Roman" w:eastAsia="宋体" w:cs="Times New Roman"/>
                <w:color w:val="000000" w:themeColor="text1"/>
                <w:sz w:val="24"/>
                <w:szCs w:val="24"/>
                <w14:textFill>
                  <w14:solidFill>
                    <w14:schemeClr w14:val="tx1"/>
                  </w14:solidFill>
                </w14:textFill>
              </w:rPr>
            </w:pPr>
          </w:p>
        </w:tc>
      </w:tr>
    </w:tbl>
    <w:p>
      <w:pPr>
        <w:rPr>
          <w:rFonts w:hint="default" w:ascii="Times New Roman" w:hAnsi="Times New Roman" w:eastAsia="宋体"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ingLiU_HKSCS">
    <w:altName w:val="PMingLiU-ExtB"/>
    <w:panose1 w:val="02020500000000000000"/>
    <w:charset w:val="88"/>
    <w:family w:val="roman"/>
    <w:pitch w:val="default"/>
    <w:sig w:usb0="00000000" w:usb1="00000000" w:usb2="00000016" w:usb3="00000000" w:csb0="00100001" w:csb1="00000000"/>
  </w:font>
  <w:font w:name="仿宋_GB2312">
    <w:altName w:val="宋体"/>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楷体_GB2312">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8320173"/>
      <w:docPartObj>
        <w:docPartGallery w:val="autotext"/>
      </w:docPartObj>
    </w:sdtPr>
    <w:sdtContent>
      <w:p>
        <w:pPr>
          <w:pStyle w:val="10"/>
          <w:jc w:val="center"/>
        </w:pPr>
        <w:r>
          <w:fldChar w:fldCharType="begin"/>
        </w:r>
        <w:r>
          <w:instrText xml:space="preserve">PAGE   \* MERGEFORMAT</w:instrText>
        </w:r>
        <w:r>
          <w:fldChar w:fldCharType="separate"/>
        </w:r>
        <w:r>
          <w:rPr>
            <w:lang w:val="zh-CN"/>
          </w:rPr>
          <w:t>36</w:t>
        </w:r>
        <w:r>
          <w:fldChar w:fldCharType="end"/>
        </w:r>
      </w:p>
    </w:sdtContent>
  </w:sdt>
  <w:p>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358442"/>
    <w:multiLevelType w:val="singleLevel"/>
    <w:tmpl w:val="7F358442"/>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lM2EyY2EwODUzNzdhNjAxYmYxZjMwMjhjYzY2NTkifQ=="/>
  </w:docVars>
  <w:rsids>
    <w:rsidRoot w:val="00AB4E2B"/>
    <w:rsid w:val="000006D5"/>
    <w:rsid w:val="000013C0"/>
    <w:rsid w:val="00002CC5"/>
    <w:rsid w:val="00005506"/>
    <w:rsid w:val="00011FC0"/>
    <w:rsid w:val="000131D3"/>
    <w:rsid w:val="0001750F"/>
    <w:rsid w:val="000218BB"/>
    <w:rsid w:val="00024639"/>
    <w:rsid w:val="00025B5C"/>
    <w:rsid w:val="0002670A"/>
    <w:rsid w:val="000325F4"/>
    <w:rsid w:val="00034094"/>
    <w:rsid w:val="0003436D"/>
    <w:rsid w:val="000343F6"/>
    <w:rsid w:val="00034CCA"/>
    <w:rsid w:val="00036835"/>
    <w:rsid w:val="00040D78"/>
    <w:rsid w:val="000411D8"/>
    <w:rsid w:val="00042F40"/>
    <w:rsid w:val="00046194"/>
    <w:rsid w:val="00061519"/>
    <w:rsid w:val="00065097"/>
    <w:rsid w:val="00066B86"/>
    <w:rsid w:val="000763F5"/>
    <w:rsid w:val="00076AA2"/>
    <w:rsid w:val="00076E5D"/>
    <w:rsid w:val="00085D61"/>
    <w:rsid w:val="00086640"/>
    <w:rsid w:val="000867AC"/>
    <w:rsid w:val="00087E7D"/>
    <w:rsid w:val="00092986"/>
    <w:rsid w:val="00093B56"/>
    <w:rsid w:val="00095949"/>
    <w:rsid w:val="0009686A"/>
    <w:rsid w:val="000A2EFD"/>
    <w:rsid w:val="000A557A"/>
    <w:rsid w:val="000A5981"/>
    <w:rsid w:val="000A624B"/>
    <w:rsid w:val="000B1DE1"/>
    <w:rsid w:val="000B6202"/>
    <w:rsid w:val="000B6770"/>
    <w:rsid w:val="000B75D7"/>
    <w:rsid w:val="000C02A0"/>
    <w:rsid w:val="000C1336"/>
    <w:rsid w:val="000C29E4"/>
    <w:rsid w:val="000C2E86"/>
    <w:rsid w:val="000C77C7"/>
    <w:rsid w:val="000C793A"/>
    <w:rsid w:val="000C7DD1"/>
    <w:rsid w:val="000D0993"/>
    <w:rsid w:val="000D0CFE"/>
    <w:rsid w:val="000D3356"/>
    <w:rsid w:val="000D6E51"/>
    <w:rsid w:val="000D78DC"/>
    <w:rsid w:val="000E0177"/>
    <w:rsid w:val="000E0536"/>
    <w:rsid w:val="000E10E1"/>
    <w:rsid w:val="000E1DCC"/>
    <w:rsid w:val="000E5C82"/>
    <w:rsid w:val="000E670C"/>
    <w:rsid w:val="000E7F8D"/>
    <w:rsid w:val="000F26A8"/>
    <w:rsid w:val="000F4188"/>
    <w:rsid w:val="000F5373"/>
    <w:rsid w:val="000F6A2C"/>
    <w:rsid w:val="00101B83"/>
    <w:rsid w:val="001030C8"/>
    <w:rsid w:val="00103137"/>
    <w:rsid w:val="00103703"/>
    <w:rsid w:val="00103BD2"/>
    <w:rsid w:val="00106B36"/>
    <w:rsid w:val="0010759F"/>
    <w:rsid w:val="00111AA7"/>
    <w:rsid w:val="0011254F"/>
    <w:rsid w:val="0011731B"/>
    <w:rsid w:val="00120126"/>
    <w:rsid w:val="00120EEB"/>
    <w:rsid w:val="00121C52"/>
    <w:rsid w:val="00122B47"/>
    <w:rsid w:val="00123921"/>
    <w:rsid w:val="001344B3"/>
    <w:rsid w:val="00134AB6"/>
    <w:rsid w:val="00136895"/>
    <w:rsid w:val="00137262"/>
    <w:rsid w:val="00140A17"/>
    <w:rsid w:val="00141153"/>
    <w:rsid w:val="00143EA8"/>
    <w:rsid w:val="0014476D"/>
    <w:rsid w:val="00146943"/>
    <w:rsid w:val="00150716"/>
    <w:rsid w:val="001510EF"/>
    <w:rsid w:val="00153A38"/>
    <w:rsid w:val="00156427"/>
    <w:rsid w:val="00160A55"/>
    <w:rsid w:val="00161CBE"/>
    <w:rsid w:val="0016252D"/>
    <w:rsid w:val="00163557"/>
    <w:rsid w:val="0016506A"/>
    <w:rsid w:val="001654BC"/>
    <w:rsid w:val="0017716C"/>
    <w:rsid w:val="00177E65"/>
    <w:rsid w:val="001818B2"/>
    <w:rsid w:val="0018345F"/>
    <w:rsid w:val="00183F00"/>
    <w:rsid w:val="001844BE"/>
    <w:rsid w:val="00184F75"/>
    <w:rsid w:val="00191371"/>
    <w:rsid w:val="00191A1F"/>
    <w:rsid w:val="00195FB4"/>
    <w:rsid w:val="00197260"/>
    <w:rsid w:val="001A1BE5"/>
    <w:rsid w:val="001A2D4B"/>
    <w:rsid w:val="001A3DAE"/>
    <w:rsid w:val="001A5612"/>
    <w:rsid w:val="001B04B3"/>
    <w:rsid w:val="001B52A1"/>
    <w:rsid w:val="001B5DE2"/>
    <w:rsid w:val="001B6CDC"/>
    <w:rsid w:val="001B6E79"/>
    <w:rsid w:val="001B7E63"/>
    <w:rsid w:val="001C1DA3"/>
    <w:rsid w:val="001C3CBD"/>
    <w:rsid w:val="001D5E6B"/>
    <w:rsid w:val="001D7856"/>
    <w:rsid w:val="001E3567"/>
    <w:rsid w:val="001E4D76"/>
    <w:rsid w:val="001E7595"/>
    <w:rsid w:val="001F0869"/>
    <w:rsid w:val="001F6240"/>
    <w:rsid w:val="001F6689"/>
    <w:rsid w:val="001F7F20"/>
    <w:rsid w:val="002005C1"/>
    <w:rsid w:val="0020785F"/>
    <w:rsid w:val="002101EE"/>
    <w:rsid w:val="00210826"/>
    <w:rsid w:val="00213EA1"/>
    <w:rsid w:val="002222A6"/>
    <w:rsid w:val="00223BE9"/>
    <w:rsid w:val="00235C6D"/>
    <w:rsid w:val="00237532"/>
    <w:rsid w:val="002402D4"/>
    <w:rsid w:val="00240D37"/>
    <w:rsid w:val="002412FF"/>
    <w:rsid w:val="0024419B"/>
    <w:rsid w:val="0024453C"/>
    <w:rsid w:val="0024615E"/>
    <w:rsid w:val="0025065C"/>
    <w:rsid w:val="00251BB4"/>
    <w:rsid w:val="00251E08"/>
    <w:rsid w:val="002522EB"/>
    <w:rsid w:val="0025532E"/>
    <w:rsid w:val="00261863"/>
    <w:rsid w:val="0026270C"/>
    <w:rsid w:val="0026309C"/>
    <w:rsid w:val="00263919"/>
    <w:rsid w:val="00264C9F"/>
    <w:rsid w:val="002660C2"/>
    <w:rsid w:val="0027234C"/>
    <w:rsid w:val="00282482"/>
    <w:rsid w:val="00282935"/>
    <w:rsid w:val="0028667B"/>
    <w:rsid w:val="00292D4D"/>
    <w:rsid w:val="002953A5"/>
    <w:rsid w:val="002A0DF0"/>
    <w:rsid w:val="002A15FF"/>
    <w:rsid w:val="002A23EB"/>
    <w:rsid w:val="002A3671"/>
    <w:rsid w:val="002B460E"/>
    <w:rsid w:val="002B4776"/>
    <w:rsid w:val="002B67D0"/>
    <w:rsid w:val="002C1FC3"/>
    <w:rsid w:val="002C2969"/>
    <w:rsid w:val="002C40E2"/>
    <w:rsid w:val="002C602E"/>
    <w:rsid w:val="002C71AD"/>
    <w:rsid w:val="002C7F74"/>
    <w:rsid w:val="002D33BB"/>
    <w:rsid w:val="002D3CD4"/>
    <w:rsid w:val="002D547D"/>
    <w:rsid w:val="002D54C2"/>
    <w:rsid w:val="002D5C30"/>
    <w:rsid w:val="002E14B6"/>
    <w:rsid w:val="002E1CC5"/>
    <w:rsid w:val="002E2D34"/>
    <w:rsid w:val="002E4A97"/>
    <w:rsid w:val="002E6DE2"/>
    <w:rsid w:val="002F13E1"/>
    <w:rsid w:val="002F3D72"/>
    <w:rsid w:val="002F78D8"/>
    <w:rsid w:val="003019B3"/>
    <w:rsid w:val="003045DD"/>
    <w:rsid w:val="00310375"/>
    <w:rsid w:val="003123A4"/>
    <w:rsid w:val="00316688"/>
    <w:rsid w:val="00324A6D"/>
    <w:rsid w:val="00327000"/>
    <w:rsid w:val="003277D5"/>
    <w:rsid w:val="00332DB5"/>
    <w:rsid w:val="00333BC8"/>
    <w:rsid w:val="00334B04"/>
    <w:rsid w:val="00340922"/>
    <w:rsid w:val="00345343"/>
    <w:rsid w:val="00347A21"/>
    <w:rsid w:val="00355624"/>
    <w:rsid w:val="00366946"/>
    <w:rsid w:val="00366C0C"/>
    <w:rsid w:val="00383DA4"/>
    <w:rsid w:val="003861FC"/>
    <w:rsid w:val="00386F81"/>
    <w:rsid w:val="00387AA3"/>
    <w:rsid w:val="0039771A"/>
    <w:rsid w:val="003A04F2"/>
    <w:rsid w:val="003A30DC"/>
    <w:rsid w:val="003A58DA"/>
    <w:rsid w:val="003A66FC"/>
    <w:rsid w:val="003A76E1"/>
    <w:rsid w:val="003B0BD5"/>
    <w:rsid w:val="003B121D"/>
    <w:rsid w:val="003B77B4"/>
    <w:rsid w:val="003C1385"/>
    <w:rsid w:val="003C3C56"/>
    <w:rsid w:val="003C4137"/>
    <w:rsid w:val="003C5DBA"/>
    <w:rsid w:val="003C69E5"/>
    <w:rsid w:val="003E39C1"/>
    <w:rsid w:val="003E404E"/>
    <w:rsid w:val="003E691D"/>
    <w:rsid w:val="003E6C4B"/>
    <w:rsid w:val="003E7FB5"/>
    <w:rsid w:val="003F2742"/>
    <w:rsid w:val="003F319B"/>
    <w:rsid w:val="00400556"/>
    <w:rsid w:val="00401FAB"/>
    <w:rsid w:val="0040220B"/>
    <w:rsid w:val="00415ADD"/>
    <w:rsid w:val="0041652E"/>
    <w:rsid w:val="00422291"/>
    <w:rsid w:val="0043249D"/>
    <w:rsid w:val="00432F63"/>
    <w:rsid w:val="00434057"/>
    <w:rsid w:val="0043723D"/>
    <w:rsid w:val="004405CC"/>
    <w:rsid w:val="00440985"/>
    <w:rsid w:val="0044227B"/>
    <w:rsid w:val="00443E94"/>
    <w:rsid w:val="0044401C"/>
    <w:rsid w:val="00447837"/>
    <w:rsid w:val="00451023"/>
    <w:rsid w:val="00451511"/>
    <w:rsid w:val="00451F69"/>
    <w:rsid w:val="00452979"/>
    <w:rsid w:val="0045781C"/>
    <w:rsid w:val="00461473"/>
    <w:rsid w:val="00462036"/>
    <w:rsid w:val="00464008"/>
    <w:rsid w:val="0047117D"/>
    <w:rsid w:val="0047402A"/>
    <w:rsid w:val="0047412B"/>
    <w:rsid w:val="0047719C"/>
    <w:rsid w:val="004778EF"/>
    <w:rsid w:val="0048020B"/>
    <w:rsid w:val="00486854"/>
    <w:rsid w:val="00494105"/>
    <w:rsid w:val="00496D21"/>
    <w:rsid w:val="00497E3A"/>
    <w:rsid w:val="004A6B94"/>
    <w:rsid w:val="004B0E5C"/>
    <w:rsid w:val="004B142D"/>
    <w:rsid w:val="004B144C"/>
    <w:rsid w:val="004B1522"/>
    <w:rsid w:val="004B4E5D"/>
    <w:rsid w:val="004B616E"/>
    <w:rsid w:val="004B61D4"/>
    <w:rsid w:val="004C03BE"/>
    <w:rsid w:val="004C0CCA"/>
    <w:rsid w:val="004C2D95"/>
    <w:rsid w:val="004C41F0"/>
    <w:rsid w:val="004C4646"/>
    <w:rsid w:val="004C50DC"/>
    <w:rsid w:val="004D1089"/>
    <w:rsid w:val="004D12EC"/>
    <w:rsid w:val="004D4729"/>
    <w:rsid w:val="004E4328"/>
    <w:rsid w:val="004E57FF"/>
    <w:rsid w:val="004F09AA"/>
    <w:rsid w:val="004F10E6"/>
    <w:rsid w:val="004F2AC6"/>
    <w:rsid w:val="004F5CD8"/>
    <w:rsid w:val="00501567"/>
    <w:rsid w:val="00503262"/>
    <w:rsid w:val="005102BF"/>
    <w:rsid w:val="00511FE0"/>
    <w:rsid w:val="00512625"/>
    <w:rsid w:val="005138B2"/>
    <w:rsid w:val="005161CD"/>
    <w:rsid w:val="00516F79"/>
    <w:rsid w:val="005208E3"/>
    <w:rsid w:val="00522BC9"/>
    <w:rsid w:val="005233DD"/>
    <w:rsid w:val="00524839"/>
    <w:rsid w:val="00527334"/>
    <w:rsid w:val="00530750"/>
    <w:rsid w:val="00532909"/>
    <w:rsid w:val="00535E50"/>
    <w:rsid w:val="0054101C"/>
    <w:rsid w:val="005411E8"/>
    <w:rsid w:val="00541213"/>
    <w:rsid w:val="00544B39"/>
    <w:rsid w:val="005527D7"/>
    <w:rsid w:val="0056477E"/>
    <w:rsid w:val="005677E8"/>
    <w:rsid w:val="005717C5"/>
    <w:rsid w:val="00571E7F"/>
    <w:rsid w:val="0058523B"/>
    <w:rsid w:val="00586C95"/>
    <w:rsid w:val="00591861"/>
    <w:rsid w:val="00595973"/>
    <w:rsid w:val="005A02F5"/>
    <w:rsid w:val="005A12B0"/>
    <w:rsid w:val="005A2343"/>
    <w:rsid w:val="005A481F"/>
    <w:rsid w:val="005A69C3"/>
    <w:rsid w:val="005A7826"/>
    <w:rsid w:val="005B0D43"/>
    <w:rsid w:val="005C1505"/>
    <w:rsid w:val="005C3ABC"/>
    <w:rsid w:val="005C42DD"/>
    <w:rsid w:val="005C6597"/>
    <w:rsid w:val="005C79F5"/>
    <w:rsid w:val="005D0A5E"/>
    <w:rsid w:val="005D40A0"/>
    <w:rsid w:val="005D5539"/>
    <w:rsid w:val="005D5CDD"/>
    <w:rsid w:val="005E2AD5"/>
    <w:rsid w:val="005E465D"/>
    <w:rsid w:val="005E4A61"/>
    <w:rsid w:val="005E5233"/>
    <w:rsid w:val="005E638E"/>
    <w:rsid w:val="005E725A"/>
    <w:rsid w:val="005E76DD"/>
    <w:rsid w:val="005F400C"/>
    <w:rsid w:val="005F4C22"/>
    <w:rsid w:val="0060210D"/>
    <w:rsid w:val="00602991"/>
    <w:rsid w:val="00603CA3"/>
    <w:rsid w:val="006051FC"/>
    <w:rsid w:val="00605931"/>
    <w:rsid w:val="00605AE8"/>
    <w:rsid w:val="00606AF8"/>
    <w:rsid w:val="0060720A"/>
    <w:rsid w:val="00611992"/>
    <w:rsid w:val="00612E48"/>
    <w:rsid w:val="006139C2"/>
    <w:rsid w:val="006148BD"/>
    <w:rsid w:val="0061585D"/>
    <w:rsid w:val="006206AF"/>
    <w:rsid w:val="00621AF5"/>
    <w:rsid w:val="0062440A"/>
    <w:rsid w:val="00630FDE"/>
    <w:rsid w:val="00634B0C"/>
    <w:rsid w:val="006418F6"/>
    <w:rsid w:val="00644121"/>
    <w:rsid w:val="00647EB7"/>
    <w:rsid w:val="00654FB0"/>
    <w:rsid w:val="00663397"/>
    <w:rsid w:val="00664B10"/>
    <w:rsid w:val="00670207"/>
    <w:rsid w:val="00671C8E"/>
    <w:rsid w:val="0067458E"/>
    <w:rsid w:val="0067498F"/>
    <w:rsid w:val="00681FA0"/>
    <w:rsid w:val="00682F4A"/>
    <w:rsid w:val="006860B3"/>
    <w:rsid w:val="006A2468"/>
    <w:rsid w:val="006A3373"/>
    <w:rsid w:val="006A6929"/>
    <w:rsid w:val="006A773D"/>
    <w:rsid w:val="006B1D48"/>
    <w:rsid w:val="006B2D43"/>
    <w:rsid w:val="006B461B"/>
    <w:rsid w:val="006B4805"/>
    <w:rsid w:val="006B524A"/>
    <w:rsid w:val="006C1429"/>
    <w:rsid w:val="006C156D"/>
    <w:rsid w:val="006C2C86"/>
    <w:rsid w:val="006C5EB7"/>
    <w:rsid w:val="006C7655"/>
    <w:rsid w:val="006C7770"/>
    <w:rsid w:val="006D1EFB"/>
    <w:rsid w:val="006D5EF1"/>
    <w:rsid w:val="006D610D"/>
    <w:rsid w:val="006D7C46"/>
    <w:rsid w:val="006E19C3"/>
    <w:rsid w:val="006E3265"/>
    <w:rsid w:val="006E5ADD"/>
    <w:rsid w:val="006F29C7"/>
    <w:rsid w:val="006F67E2"/>
    <w:rsid w:val="00702006"/>
    <w:rsid w:val="00707BCC"/>
    <w:rsid w:val="00710D02"/>
    <w:rsid w:val="00712371"/>
    <w:rsid w:val="0071354B"/>
    <w:rsid w:val="00713741"/>
    <w:rsid w:val="00713BE0"/>
    <w:rsid w:val="00717024"/>
    <w:rsid w:val="00720273"/>
    <w:rsid w:val="00720AE4"/>
    <w:rsid w:val="00721595"/>
    <w:rsid w:val="0072185C"/>
    <w:rsid w:val="007229DC"/>
    <w:rsid w:val="0072588E"/>
    <w:rsid w:val="00727132"/>
    <w:rsid w:val="00730FEE"/>
    <w:rsid w:val="0073329E"/>
    <w:rsid w:val="00733602"/>
    <w:rsid w:val="007367A9"/>
    <w:rsid w:val="00736CA0"/>
    <w:rsid w:val="007411FD"/>
    <w:rsid w:val="00744529"/>
    <w:rsid w:val="007455C1"/>
    <w:rsid w:val="00752990"/>
    <w:rsid w:val="0075558B"/>
    <w:rsid w:val="007635C2"/>
    <w:rsid w:val="00763F7E"/>
    <w:rsid w:val="007649EC"/>
    <w:rsid w:val="00767061"/>
    <w:rsid w:val="00774792"/>
    <w:rsid w:val="00787462"/>
    <w:rsid w:val="007878C7"/>
    <w:rsid w:val="007921E2"/>
    <w:rsid w:val="00793151"/>
    <w:rsid w:val="00793C68"/>
    <w:rsid w:val="0079576A"/>
    <w:rsid w:val="0079658B"/>
    <w:rsid w:val="007A256A"/>
    <w:rsid w:val="007A4A76"/>
    <w:rsid w:val="007A4FA5"/>
    <w:rsid w:val="007A4FC8"/>
    <w:rsid w:val="007B0CCA"/>
    <w:rsid w:val="007B3FA8"/>
    <w:rsid w:val="007B4000"/>
    <w:rsid w:val="007C0F7E"/>
    <w:rsid w:val="007C2C5D"/>
    <w:rsid w:val="007C52B5"/>
    <w:rsid w:val="007E0FC7"/>
    <w:rsid w:val="007E4835"/>
    <w:rsid w:val="007E6C0B"/>
    <w:rsid w:val="007E7A39"/>
    <w:rsid w:val="007F2577"/>
    <w:rsid w:val="008001F2"/>
    <w:rsid w:val="00803242"/>
    <w:rsid w:val="00804E97"/>
    <w:rsid w:val="008073DE"/>
    <w:rsid w:val="00810B8B"/>
    <w:rsid w:val="00810C2A"/>
    <w:rsid w:val="0081412F"/>
    <w:rsid w:val="0081456F"/>
    <w:rsid w:val="00814601"/>
    <w:rsid w:val="00815DA7"/>
    <w:rsid w:val="0082078D"/>
    <w:rsid w:val="008217B5"/>
    <w:rsid w:val="008266C6"/>
    <w:rsid w:val="00826996"/>
    <w:rsid w:val="008278C3"/>
    <w:rsid w:val="00830E88"/>
    <w:rsid w:val="00831203"/>
    <w:rsid w:val="00834271"/>
    <w:rsid w:val="008357C2"/>
    <w:rsid w:val="00837F64"/>
    <w:rsid w:val="008410A8"/>
    <w:rsid w:val="00841889"/>
    <w:rsid w:val="008446AC"/>
    <w:rsid w:val="00847DD0"/>
    <w:rsid w:val="00847DD4"/>
    <w:rsid w:val="008508AA"/>
    <w:rsid w:val="008542A6"/>
    <w:rsid w:val="00855F0F"/>
    <w:rsid w:val="00865023"/>
    <w:rsid w:val="00867517"/>
    <w:rsid w:val="00874CC8"/>
    <w:rsid w:val="0088023A"/>
    <w:rsid w:val="00883AA3"/>
    <w:rsid w:val="00884CC8"/>
    <w:rsid w:val="00893E95"/>
    <w:rsid w:val="00896693"/>
    <w:rsid w:val="00896A5A"/>
    <w:rsid w:val="00897B04"/>
    <w:rsid w:val="008A02D9"/>
    <w:rsid w:val="008B58D2"/>
    <w:rsid w:val="008B5933"/>
    <w:rsid w:val="008C1353"/>
    <w:rsid w:val="008C3A1E"/>
    <w:rsid w:val="008C5F1E"/>
    <w:rsid w:val="008C6B82"/>
    <w:rsid w:val="008D2DAD"/>
    <w:rsid w:val="008D4898"/>
    <w:rsid w:val="008D74B1"/>
    <w:rsid w:val="008E5290"/>
    <w:rsid w:val="008F0908"/>
    <w:rsid w:val="008F0A45"/>
    <w:rsid w:val="008F33B9"/>
    <w:rsid w:val="008F3CC9"/>
    <w:rsid w:val="008F4D67"/>
    <w:rsid w:val="00902F03"/>
    <w:rsid w:val="009047CB"/>
    <w:rsid w:val="00911E70"/>
    <w:rsid w:val="00913D34"/>
    <w:rsid w:val="00915EDA"/>
    <w:rsid w:val="009167EB"/>
    <w:rsid w:val="009222BD"/>
    <w:rsid w:val="00925A7F"/>
    <w:rsid w:val="00927226"/>
    <w:rsid w:val="0093025F"/>
    <w:rsid w:val="00931E1D"/>
    <w:rsid w:val="00935CA4"/>
    <w:rsid w:val="00936AFA"/>
    <w:rsid w:val="009370EF"/>
    <w:rsid w:val="00937BA4"/>
    <w:rsid w:val="00942223"/>
    <w:rsid w:val="0094301D"/>
    <w:rsid w:val="00945EE4"/>
    <w:rsid w:val="009465EC"/>
    <w:rsid w:val="009511B5"/>
    <w:rsid w:val="009527E2"/>
    <w:rsid w:val="009534B9"/>
    <w:rsid w:val="009547DF"/>
    <w:rsid w:val="00955B48"/>
    <w:rsid w:val="00960600"/>
    <w:rsid w:val="0096118A"/>
    <w:rsid w:val="009746C4"/>
    <w:rsid w:val="00984A01"/>
    <w:rsid w:val="009864D9"/>
    <w:rsid w:val="00990781"/>
    <w:rsid w:val="00991D51"/>
    <w:rsid w:val="00995F32"/>
    <w:rsid w:val="00996CA2"/>
    <w:rsid w:val="009971E9"/>
    <w:rsid w:val="009A13C5"/>
    <w:rsid w:val="009A1937"/>
    <w:rsid w:val="009A2301"/>
    <w:rsid w:val="009A56D9"/>
    <w:rsid w:val="009A5711"/>
    <w:rsid w:val="009A7553"/>
    <w:rsid w:val="009B0C9B"/>
    <w:rsid w:val="009B69DA"/>
    <w:rsid w:val="009C33CA"/>
    <w:rsid w:val="009C37AC"/>
    <w:rsid w:val="009C416C"/>
    <w:rsid w:val="009E2EEC"/>
    <w:rsid w:val="009E3A80"/>
    <w:rsid w:val="009E5D6F"/>
    <w:rsid w:val="009E652F"/>
    <w:rsid w:val="009F0C04"/>
    <w:rsid w:val="009F1AB7"/>
    <w:rsid w:val="009F6F04"/>
    <w:rsid w:val="009F7431"/>
    <w:rsid w:val="00A12413"/>
    <w:rsid w:val="00A14937"/>
    <w:rsid w:val="00A14E76"/>
    <w:rsid w:val="00A16E72"/>
    <w:rsid w:val="00A21044"/>
    <w:rsid w:val="00A21180"/>
    <w:rsid w:val="00A2169F"/>
    <w:rsid w:val="00A2558D"/>
    <w:rsid w:val="00A2652C"/>
    <w:rsid w:val="00A30E6F"/>
    <w:rsid w:val="00A3121E"/>
    <w:rsid w:val="00A31673"/>
    <w:rsid w:val="00A32A7D"/>
    <w:rsid w:val="00A34DF0"/>
    <w:rsid w:val="00A43FCD"/>
    <w:rsid w:val="00A47ACC"/>
    <w:rsid w:val="00A55020"/>
    <w:rsid w:val="00A55438"/>
    <w:rsid w:val="00A61ACD"/>
    <w:rsid w:val="00A631EB"/>
    <w:rsid w:val="00A64D9E"/>
    <w:rsid w:val="00A67AB1"/>
    <w:rsid w:val="00A704D6"/>
    <w:rsid w:val="00A719FF"/>
    <w:rsid w:val="00A71E83"/>
    <w:rsid w:val="00A72C43"/>
    <w:rsid w:val="00A738D3"/>
    <w:rsid w:val="00A945CC"/>
    <w:rsid w:val="00A94B67"/>
    <w:rsid w:val="00AA0913"/>
    <w:rsid w:val="00AA5918"/>
    <w:rsid w:val="00AA6A1E"/>
    <w:rsid w:val="00AA76CB"/>
    <w:rsid w:val="00AB0D2E"/>
    <w:rsid w:val="00AB35D0"/>
    <w:rsid w:val="00AB4736"/>
    <w:rsid w:val="00AB4E2B"/>
    <w:rsid w:val="00AB608D"/>
    <w:rsid w:val="00AB60BF"/>
    <w:rsid w:val="00AC3A30"/>
    <w:rsid w:val="00AC7C44"/>
    <w:rsid w:val="00AD03CF"/>
    <w:rsid w:val="00AD253B"/>
    <w:rsid w:val="00AD32D3"/>
    <w:rsid w:val="00AD44CD"/>
    <w:rsid w:val="00AD6E75"/>
    <w:rsid w:val="00AE15FD"/>
    <w:rsid w:val="00AE4881"/>
    <w:rsid w:val="00AE760E"/>
    <w:rsid w:val="00AE76F2"/>
    <w:rsid w:val="00AF2464"/>
    <w:rsid w:val="00AF513D"/>
    <w:rsid w:val="00AF5205"/>
    <w:rsid w:val="00AF5E13"/>
    <w:rsid w:val="00AF63EB"/>
    <w:rsid w:val="00B014BB"/>
    <w:rsid w:val="00B0357B"/>
    <w:rsid w:val="00B06AB6"/>
    <w:rsid w:val="00B1233D"/>
    <w:rsid w:val="00B12786"/>
    <w:rsid w:val="00B171F1"/>
    <w:rsid w:val="00B2072D"/>
    <w:rsid w:val="00B22E49"/>
    <w:rsid w:val="00B243B8"/>
    <w:rsid w:val="00B30C1A"/>
    <w:rsid w:val="00B30F8C"/>
    <w:rsid w:val="00B33641"/>
    <w:rsid w:val="00B355D5"/>
    <w:rsid w:val="00B3577C"/>
    <w:rsid w:val="00B431E8"/>
    <w:rsid w:val="00B4600B"/>
    <w:rsid w:val="00B47CBF"/>
    <w:rsid w:val="00B51F33"/>
    <w:rsid w:val="00B53766"/>
    <w:rsid w:val="00B556B5"/>
    <w:rsid w:val="00B57079"/>
    <w:rsid w:val="00B70632"/>
    <w:rsid w:val="00B70AFF"/>
    <w:rsid w:val="00B720DC"/>
    <w:rsid w:val="00B7351F"/>
    <w:rsid w:val="00B73A28"/>
    <w:rsid w:val="00B74B58"/>
    <w:rsid w:val="00B7506B"/>
    <w:rsid w:val="00B76480"/>
    <w:rsid w:val="00B76BEC"/>
    <w:rsid w:val="00B80192"/>
    <w:rsid w:val="00B82201"/>
    <w:rsid w:val="00B82D97"/>
    <w:rsid w:val="00B83E6E"/>
    <w:rsid w:val="00B86EC2"/>
    <w:rsid w:val="00B9060A"/>
    <w:rsid w:val="00B9306E"/>
    <w:rsid w:val="00BA1AD8"/>
    <w:rsid w:val="00BA2CBA"/>
    <w:rsid w:val="00BA36CC"/>
    <w:rsid w:val="00BA63F9"/>
    <w:rsid w:val="00BA7CD6"/>
    <w:rsid w:val="00BA7CDB"/>
    <w:rsid w:val="00BB04D7"/>
    <w:rsid w:val="00BB0E7A"/>
    <w:rsid w:val="00BB0FBD"/>
    <w:rsid w:val="00BB1F41"/>
    <w:rsid w:val="00BB42D7"/>
    <w:rsid w:val="00BB56A0"/>
    <w:rsid w:val="00BC41EA"/>
    <w:rsid w:val="00BC4999"/>
    <w:rsid w:val="00BC5AF3"/>
    <w:rsid w:val="00BD1BB1"/>
    <w:rsid w:val="00BD44AC"/>
    <w:rsid w:val="00BD57F9"/>
    <w:rsid w:val="00BD771F"/>
    <w:rsid w:val="00BE2556"/>
    <w:rsid w:val="00BE4B09"/>
    <w:rsid w:val="00BE55AD"/>
    <w:rsid w:val="00BE6ECD"/>
    <w:rsid w:val="00BE75B6"/>
    <w:rsid w:val="00BF20C9"/>
    <w:rsid w:val="00BF354B"/>
    <w:rsid w:val="00BF4370"/>
    <w:rsid w:val="00BF4B70"/>
    <w:rsid w:val="00C0394D"/>
    <w:rsid w:val="00C05A43"/>
    <w:rsid w:val="00C05C9A"/>
    <w:rsid w:val="00C063B5"/>
    <w:rsid w:val="00C07530"/>
    <w:rsid w:val="00C07FE6"/>
    <w:rsid w:val="00C11541"/>
    <w:rsid w:val="00C11CD6"/>
    <w:rsid w:val="00C17403"/>
    <w:rsid w:val="00C20B48"/>
    <w:rsid w:val="00C21C13"/>
    <w:rsid w:val="00C23A96"/>
    <w:rsid w:val="00C277B7"/>
    <w:rsid w:val="00C30016"/>
    <w:rsid w:val="00C32055"/>
    <w:rsid w:val="00C33AFB"/>
    <w:rsid w:val="00C36697"/>
    <w:rsid w:val="00C415FA"/>
    <w:rsid w:val="00C436EF"/>
    <w:rsid w:val="00C445E4"/>
    <w:rsid w:val="00C503B0"/>
    <w:rsid w:val="00C55B75"/>
    <w:rsid w:val="00C66565"/>
    <w:rsid w:val="00C66D83"/>
    <w:rsid w:val="00C67A53"/>
    <w:rsid w:val="00C808BA"/>
    <w:rsid w:val="00C81702"/>
    <w:rsid w:val="00C81F05"/>
    <w:rsid w:val="00C82516"/>
    <w:rsid w:val="00C8533C"/>
    <w:rsid w:val="00C868FC"/>
    <w:rsid w:val="00C87791"/>
    <w:rsid w:val="00C9012B"/>
    <w:rsid w:val="00C90FB5"/>
    <w:rsid w:val="00C93D42"/>
    <w:rsid w:val="00C94FF8"/>
    <w:rsid w:val="00C9525E"/>
    <w:rsid w:val="00C96FE1"/>
    <w:rsid w:val="00CA2FEC"/>
    <w:rsid w:val="00CA5F59"/>
    <w:rsid w:val="00CB1B22"/>
    <w:rsid w:val="00CB532F"/>
    <w:rsid w:val="00CC0246"/>
    <w:rsid w:val="00CC1EBC"/>
    <w:rsid w:val="00CC2582"/>
    <w:rsid w:val="00CC4750"/>
    <w:rsid w:val="00CC5D72"/>
    <w:rsid w:val="00CC7DCC"/>
    <w:rsid w:val="00CD172B"/>
    <w:rsid w:val="00CD383D"/>
    <w:rsid w:val="00CD518D"/>
    <w:rsid w:val="00CD5BA0"/>
    <w:rsid w:val="00CD6ABA"/>
    <w:rsid w:val="00CD777D"/>
    <w:rsid w:val="00CE3571"/>
    <w:rsid w:val="00CE6F0D"/>
    <w:rsid w:val="00CE7154"/>
    <w:rsid w:val="00CE7D9E"/>
    <w:rsid w:val="00CF0B0B"/>
    <w:rsid w:val="00CF33BC"/>
    <w:rsid w:val="00CF38CE"/>
    <w:rsid w:val="00CF6B61"/>
    <w:rsid w:val="00CF6CD2"/>
    <w:rsid w:val="00D0025C"/>
    <w:rsid w:val="00D01BCA"/>
    <w:rsid w:val="00D06F39"/>
    <w:rsid w:val="00D13408"/>
    <w:rsid w:val="00D147D0"/>
    <w:rsid w:val="00D22628"/>
    <w:rsid w:val="00D354A2"/>
    <w:rsid w:val="00D422E3"/>
    <w:rsid w:val="00D46B35"/>
    <w:rsid w:val="00D47A07"/>
    <w:rsid w:val="00D503CB"/>
    <w:rsid w:val="00D50566"/>
    <w:rsid w:val="00D51F86"/>
    <w:rsid w:val="00D55CF2"/>
    <w:rsid w:val="00D57C4A"/>
    <w:rsid w:val="00D6289C"/>
    <w:rsid w:val="00D717F9"/>
    <w:rsid w:val="00D735D4"/>
    <w:rsid w:val="00D7453B"/>
    <w:rsid w:val="00D7698A"/>
    <w:rsid w:val="00D77375"/>
    <w:rsid w:val="00D8433F"/>
    <w:rsid w:val="00D845B2"/>
    <w:rsid w:val="00D8565D"/>
    <w:rsid w:val="00DA035E"/>
    <w:rsid w:val="00DA1C7C"/>
    <w:rsid w:val="00DA21E6"/>
    <w:rsid w:val="00DA3D81"/>
    <w:rsid w:val="00DA7AA5"/>
    <w:rsid w:val="00DB1776"/>
    <w:rsid w:val="00DB7251"/>
    <w:rsid w:val="00DB73A2"/>
    <w:rsid w:val="00DC0DEB"/>
    <w:rsid w:val="00DC2EE5"/>
    <w:rsid w:val="00DC331F"/>
    <w:rsid w:val="00DC38A3"/>
    <w:rsid w:val="00DC4419"/>
    <w:rsid w:val="00DD18B2"/>
    <w:rsid w:val="00DD3910"/>
    <w:rsid w:val="00DD742F"/>
    <w:rsid w:val="00DD79B4"/>
    <w:rsid w:val="00DE20D0"/>
    <w:rsid w:val="00DE2EB7"/>
    <w:rsid w:val="00DE2EFC"/>
    <w:rsid w:val="00DE69FD"/>
    <w:rsid w:val="00DF27D4"/>
    <w:rsid w:val="00E11CB8"/>
    <w:rsid w:val="00E11F80"/>
    <w:rsid w:val="00E12733"/>
    <w:rsid w:val="00E1587B"/>
    <w:rsid w:val="00E16BE1"/>
    <w:rsid w:val="00E21E32"/>
    <w:rsid w:val="00E23282"/>
    <w:rsid w:val="00E24511"/>
    <w:rsid w:val="00E32347"/>
    <w:rsid w:val="00E50142"/>
    <w:rsid w:val="00E5449F"/>
    <w:rsid w:val="00E5503D"/>
    <w:rsid w:val="00E55BE4"/>
    <w:rsid w:val="00E5687D"/>
    <w:rsid w:val="00E56AE4"/>
    <w:rsid w:val="00E61D5F"/>
    <w:rsid w:val="00E668FE"/>
    <w:rsid w:val="00E746BD"/>
    <w:rsid w:val="00E74E57"/>
    <w:rsid w:val="00E843EC"/>
    <w:rsid w:val="00E86AFD"/>
    <w:rsid w:val="00E92835"/>
    <w:rsid w:val="00E92991"/>
    <w:rsid w:val="00E95624"/>
    <w:rsid w:val="00EA2340"/>
    <w:rsid w:val="00EA7ACD"/>
    <w:rsid w:val="00EB47A8"/>
    <w:rsid w:val="00EB54F4"/>
    <w:rsid w:val="00EC605E"/>
    <w:rsid w:val="00ED1E24"/>
    <w:rsid w:val="00ED20FC"/>
    <w:rsid w:val="00ED2955"/>
    <w:rsid w:val="00ED5270"/>
    <w:rsid w:val="00ED58AC"/>
    <w:rsid w:val="00ED7C36"/>
    <w:rsid w:val="00EE02C6"/>
    <w:rsid w:val="00EE03E9"/>
    <w:rsid w:val="00EE3F60"/>
    <w:rsid w:val="00EF1D7D"/>
    <w:rsid w:val="00EF6000"/>
    <w:rsid w:val="00EF7836"/>
    <w:rsid w:val="00F00BC2"/>
    <w:rsid w:val="00F02E9E"/>
    <w:rsid w:val="00F0622E"/>
    <w:rsid w:val="00F10E15"/>
    <w:rsid w:val="00F1401D"/>
    <w:rsid w:val="00F150DA"/>
    <w:rsid w:val="00F1537B"/>
    <w:rsid w:val="00F15A98"/>
    <w:rsid w:val="00F22A2F"/>
    <w:rsid w:val="00F24A8B"/>
    <w:rsid w:val="00F25C67"/>
    <w:rsid w:val="00F32D3C"/>
    <w:rsid w:val="00F40386"/>
    <w:rsid w:val="00F43A60"/>
    <w:rsid w:val="00F4519A"/>
    <w:rsid w:val="00F46FAA"/>
    <w:rsid w:val="00F47026"/>
    <w:rsid w:val="00F50AB8"/>
    <w:rsid w:val="00F51516"/>
    <w:rsid w:val="00F51C90"/>
    <w:rsid w:val="00F51F60"/>
    <w:rsid w:val="00F558C5"/>
    <w:rsid w:val="00F56AD4"/>
    <w:rsid w:val="00F62891"/>
    <w:rsid w:val="00F63ADC"/>
    <w:rsid w:val="00F66EFD"/>
    <w:rsid w:val="00F66F77"/>
    <w:rsid w:val="00F72697"/>
    <w:rsid w:val="00F73DB2"/>
    <w:rsid w:val="00F748BE"/>
    <w:rsid w:val="00F7793D"/>
    <w:rsid w:val="00F8284E"/>
    <w:rsid w:val="00F82E3F"/>
    <w:rsid w:val="00F83501"/>
    <w:rsid w:val="00F85A53"/>
    <w:rsid w:val="00F87FB8"/>
    <w:rsid w:val="00F93328"/>
    <w:rsid w:val="00F93445"/>
    <w:rsid w:val="00FA66D4"/>
    <w:rsid w:val="00FA6B9F"/>
    <w:rsid w:val="00FB2471"/>
    <w:rsid w:val="00FB5F67"/>
    <w:rsid w:val="00FC34B7"/>
    <w:rsid w:val="00FD0B3F"/>
    <w:rsid w:val="00FD1189"/>
    <w:rsid w:val="00FD2AED"/>
    <w:rsid w:val="00FD3F83"/>
    <w:rsid w:val="00FD77D1"/>
    <w:rsid w:val="00FE2BD7"/>
    <w:rsid w:val="00FE6914"/>
    <w:rsid w:val="00FF528F"/>
    <w:rsid w:val="00FF60B0"/>
    <w:rsid w:val="01057174"/>
    <w:rsid w:val="01521C8D"/>
    <w:rsid w:val="01885FFA"/>
    <w:rsid w:val="01C21610"/>
    <w:rsid w:val="01D2770A"/>
    <w:rsid w:val="01E0057D"/>
    <w:rsid w:val="01F30330"/>
    <w:rsid w:val="021F6013"/>
    <w:rsid w:val="02274EC8"/>
    <w:rsid w:val="022817F3"/>
    <w:rsid w:val="024C0DD3"/>
    <w:rsid w:val="02572B53"/>
    <w:rsid w:val="02D45050"/>
    <w:rsid w:val="03600692"/>
    <w:rsid w:val="03766B4B"/>
    <w:rsid w:val="03B05267"/>
    <w:rsid w:val="03E33F8D"/>
    <w:rsid w:val="045B70AB"/>
    <w:rsid w:val="04936845"/>
    <w:rsid w:val="04E83AB4"/>
    <w:rsid w:val="04F27A0F"/>
    <w:rsid w:val="053142BB"/>
    <w:rsid w:val="05485881"/>
    <w:rsid w:val="05654D72"/>
    <w:rsid w:val="05B24CBC"/>
    <w:rsid w:val="05F10D04"/>
    <w:rsid w:val="06014728"/>
    <w:rsid w:val="060419C5"/>
    <w:rsid w:val="0633208D"/>
    <w:rsid w:val="06615ED8"/>
    <w:rsid w:val="066A7A79"/>
    <w:rsid w:val="066C559F"/>
    <w:rsid w:val="06837704"/>
    <w:rsid w:val="06E15E33"/>
    <w:rsid w:val="06F04422"/>
    <w:rsid w:val="06F061D0"/>
    <w:rsid w:val="0752118F"/>
    <w:rsid w:val="07535285"/>
    <w:rsid w:val="07E5385B"/>
    <w:rsid w:val="0822060B"/>
    <w:rsid w:val="083E4D1A"/>
    <w:rsid w:val="08833439"/>
    <w:rsid w:val="08915791"/>
    <w:rsid w:val="08A96637"/>
    <w:rsid w:val="08E2726E"/>
    <w:rsid w:val="08EA137C"/>
    <w:rsid w:val="090B5543"/>
    <w:rsid w:val="097D5780"/>
    <w:rsid w:val="099C2AD0"/>
    <w:rsid w:val="09AE7160"/>
    <w:rsid w:val="09D5765B"/>
    <w:rsid w:val="0A1608A9"/>
    <w:rsid w:val="0A26688F"/>
    <w:rsid w:val="0A5D3B7D"/>
    <w:rsid w:val="0A984BB5"/>
    <w:rsid w:val="0AD91201"/>
    <w:rsid w:val="0ADF48BD"/>
    <w:rsid w:val="0B163D2C"/>
    <w:rsid w:val="0B37594F"/>
    <w:rsid w:val="0B50723E"/>
    <w:rsid w:val="0B5D195B"/>
    <w:rsid w:val="0B5E3921"/>
    <w:rsid w:val="0B911342"/>
    <w:rsid w:val="0BA72142"/>
    <w:rsid w:val="0C030754"/>
    <w:rsid w:val="0C3B2131"/>
    <w:rsid w:val="0C4E451F"/>
    <w:rsid w:val="0C4F7E6A"/>
    <w:rsid w:val="0C676F35"/>
    <w:rsid w:val="0CB3217A"/>
    <w:rsid w:val="0CDC3026"/>
    <w:rsid w:val="0CDC44DB"/>
    <w:rsid w:val="0D224C0A"/>
    <w:rsid w:val="0D52144C"/>
    <w:rsid w:val="0D8E6D0D"/>
    <w:rsid w:val="0DB55A7E"/>
    <w:rsid w:val="0DFC7E32"/>
    <w:rsid w:val="0E45721F"/>
    <w:rsid w:val="0EC57F43"/>
    <w:rsid w:val="0ECC01CC"/>
    <w:rsid w:val="0ECC12D1"/>
    <w:rsid w:val="0F08497D"/>
    <w:rsid w:val="0F420034"/>
    <w:rsid w:val="0FA5626C"/>
    <w:rsid w:val="0FCE72CB"/>
    <w:rsid w:val="0FFA7511"/>
    <w:rsid w:val="106D43EE"/>
    <w:rsid w:val="107A4FDC"/>
    <w:rsid w:val="10907E40"/>
    <w:rsid w:val="10AF4A06"/>
    <w:rsid w:val="10B97C29"/>
    <w:rsid w:val="10F468BD"/>
    <w:rsid w:val="1127351F"/>
    <w:rsid w:val="11A55E09"/>
    <w:rsid w:val="11E701D0"/>
    <w:rsid w:val="12301B77"/>
    <w:rsid w:val="12460079"/>
    <w:rsid w:val="12503FC7"/>
    <w:rsid w:val="12521662"/>
    <w:rsid w:val="129C5226"/>
    <w:rsid w:val="129E4D32"/>
    <w:rsid w:val="12B10115"/>
    <w:rsid w:val="12D152D7"/>
    <w:rsid w:val="12D373EF"/>
    <w:rsid w:val="12EF726C"/>
    <w:rsid w:val="134578A4"/>
    <w:rsid w:val="137837D5"/>
    <w:rsid w:val="13C470E7"/>
    <w:rsid w:val="147B7830"/>
    <w:rsid w:val="14A979BF"/>
    <w:rsid w:val="14EC25C7"/>
    <w:rsid w:val="14FA7677"/>
    <w:rsid w:val="15506629"/>
    <w:rsid w:val="1598015F"/>
    <w:rsid w:val="15CA3EFC"/>
    <w:rsid w:val="15FD2643"/>
    <w:rsid w:val="164174F0"/>
    <w:rsid w:val="16530ACF"/>
    <w:rsid w:val="16861FD2"/>
    <w:rsid w:val="169326D4"/>
    <w:rsid w:val="16932BF5"/>
    <w:rsid w:val="16A03762"/>
    <w:rsid w:val="16C251AA"/>
    <w:rsid w:val="16D01B7A"/>
    <w:rsid w:val="16D72F09"/>
    <w:rsid w:val="1776627E"/>
    <w:rsid w:val="17785AAF"/>
    <w:rsid w:val="17E91A87"/>
    <w:rsid w:val="18487737"/>
    <w:rsid w:val="18B54B84"/>
    <w:rsid w:val="18F4694E"/>
    <w:rsid w:val="18FE477D"/>
    <w:rsid w:val="1923690E"/>
    <w:rsid w:val="19453D4A"/>
    <w:rsid w:val="19715F37"/>
    <w:rsid w:val="19763EFC"/>
    <w:rsid w:val="1A116732"/>
    <w:rsid w:val="1A1B4EBB"/>
    <w:rsid w:val="1A1D3CEF"/>
    <w:rsid w:val="1A5B5BFF"/>
    <w:rsid w:val="1A66082C"/>
    <w:rsid w:val="1AF71484"/>
    <w:rsid w:val="1B222279"/>
    <w:rsid w:val="1B276664"/>
    <w:rsid w:val="1B352414"/>
    <w:rsid w:val="1B59213E"/>
    <w:rsid w:val="1B75684C"/>
    <w:rsid w:val="1B842B93"/>
    <w:rsid w:val="1B8B6B38"/>
    <w:rsid w:val="1BAD4238"/>
    <w:rsid w:val="1BB22421"/>
    <w:rsid w:val="1C743988"/>
    <w:rsid w:val="1C744232"/>
    <w:rsid w:val="1C974092"/>
    <w:rsid w:val="1C9A095A"/>
    <w:rsid w:val="1CB41B29"/>
    <w:rsid w:val="1CD557F5"/>
    <w:rsid w:val="1D2971B2"/>
    <w:rsid w:val="1D463EA3"/>
    <w:rsid w:val="1D4E37F9"/>
    <w:rsid w:val="1D5A03F0"/>
    <w:rsid w:val="1D7E6F90"/>
    <w:rsid w:val="1DA653E3"/>
    <w:rsid w:val="1DB00BF9"/>
    <w:rsid w:val="1DB401C9"/>
    <w:rsid w:val="1DDC0E05"/>
    <w:rsid w:val="1DE43C6F"/>
    <w:rsid w:val="1E675D84"/>
    <w:rsid w:val="1F016D75"/>
    <w:rsid w:val="1F066139"/>
    <w:rsid w:val="1F401883"/>
    <w:rsid w:val="1FEA15B7"/>
    <w:rsid w:val="1FF93EF0"/>
    <w:rsid w:val="20657CE5"/>
    <w:rsid w:val="20B816B5"/>
    <w:rsid w:val="20BC4690"/>
    <w:rsid w:val="20E029BA"/>
    <w:rsid w:val="21046B4F"/>
    <w:rsid w:val="210C684B"/>
    <w:rsid w:val="215D3196"/>
    <w:rsid w:val="21AD6D40"/>
    <w:rsid w:val="21FD2B83"/>
    <w:rsid w:val="2210107D"/>
    <w:rsid w:val="2228286B"/>
    <w:rsid w:val="223B6BE7"/>
    <w:rsid w:val="22837AA1"/>
    <w:rsid w:val="228F4698"/>
    <w:rsid w:val="22CC31F6"/>
    <w:rsid w:val="22FA1107"/>
    <w:rsid w:val="23084861"/>
    <w:rsid w:val="231F5A1C"/>
    <w:rsid w:val="23282170"/>
    <w:rsid w:val="232B1FF7"/>
    <w:rsid w:val="23452067"/>
    <w:rsid w:val="235A6CAA"/>
    <w:rsid w:val="235F22BC"/>
    <w:rsid w:val="237246D9"/>
    <w:rsid w:val="237A2E1F"/>
    <w:rsid w:val="23A00ABD"/>
    <w:rsid w:val="23A229BA"/>
    <w:rsid w:val="23C12F77"/>
    <w:rsid w:val="23CD25AF"/>
    <w:rsid w:val="23EB1DA2"/>
    <w:rsid w:val="23EE1074"/>
    <w:rsid w:val="243506CB"/>
    <w:rsid w:val="2438146A"/>
    <w:rsid w:val="247D2570"/>
    <w:rsid w:val="24AF5C78"/>
    <w:rsid w:val="254E5C11"/>
    <w:rsid w:val="2573204F"/>
    <w:rsid w:val="25AD5FAB"/>
    <w:rsid w:val="25AE12D9"/>
    <w:rsid w:val="260D49B3"/>
    <w:rsid w:val="26263432"/>
    <w:rsid w:val="262A454D"/>
    <w:rsid w:val="264A7253"/>
    <w:rsid w:val="264F486A"/>
    <w:rsid w:val="264F6618"/>
    <w:rsid w:val="265C4077"/>
    <w:rsid w:val="2695579B"/>
    <w:rsid w:val="26D16BB8"/>
    <w:rsid w:val="26E054C2"/>
    <w:rsid w:val="272F01F7"/>
    <w:rsid w:val="27AB1F74"/>
    <w:rsid w:val="27AB762D"/>
    <w:rsid w:val="27FF7BCA"/>
    <w:rsid w:val="2821201E"/>
    <w:rsid w:val="284B72B3"/>
    <w:rsid w:val="286607CE"/>
    <w:rsid w:val="28914AE3"/>
    <w:rsid w:val="28940C5A"/>
    <w:rsid w:val="28BA7F95"/>
    <w:rsid w:val="29644DE1"/>
    <w:rsid w:val="29777BB7"/>
    <w:rsid w:val="299D3D9D"/>
    <w:rsid w:val="29E67293"/>
    <w:rsid w:val="29FD638B"/>
    <w:rsid w:val="2A06146B"/>
    <w:rsid w:val="2A2B114A"/>
    <w:rsid w:val="2A337FFE"/>
    <w:rsid w:val="2A514366"/>
    <w:rsid w:val="2A9A007E"/>
    <w:rsid w:val="2ABA7325"/>
    <w:rsid w:val="2B1A296E"/>
    <w:rsid w:val="2B22254D"/>
    <w:rsid w:val="2B543D42"/>
    <w:rsid w:val="2B5D5D69"/>
    <w:rsid w:val="2B603075"/>
    <w:rsid w:val="2BA52826"/>
    <w:rsid w:val="2BC368F6"/>
    <w:rsid w:val="2C405AAF"/>
    <w:rsid w:val="2C522DE6"/>
    <w:rsid w:val="2C7A1F15"/>
    <w:rsid w:val="2C892158"/>
    <w:rsid w:val="2CA96AB9"/>
    <w:rsid w:val="2CE945B7"/>
    <w:rsid w:val="2CEF46B1"/>
    <w:rsid w:val="2D173C07"/>
    <w:rsid w:val="2D214A86"/>
    <w:rsid w:val="2D4744ED"/>
    <w:rsid w:val="2D574004"/>
    <w:rsid w:val="2D6F75A0"/>
    <w:rsid w:val="2D74571E"/>
    <w:rsid w:val="2DC84F02"/>
    <w:rsid w:val="2E0D6CB4"/>
    <w:rsid w:val="2E743600"/>
    <w:rsid w:val="2ED5090E"/>
    <w:rsid w:val="2F3C341F"/>
    <w:rsid w:val="2F4D10EB"/>
    <w:rsid w:val="2F587684"/>
    <w:rsid w:val="2F587BDE"/>
    <w:rsid w:val="2FB1651B"/>
    <w:rsid w:val="2FBE480E"/>
    <w:rsid w:val="300F506A"/>
    <w:rsid w:val="30215EB3"/>
    <w:rsid w:val="30904147"/>
    <w:rsid w:val="30B113A2"/>
    <w:rsid w:val="30B8300C"/>
    <w:rsid w:val="30E56588"/>
    <w:rsid w:val="30EC15D2"/>
    <w:rsid w:val="31684A32"/>
    <w:rsid w:val="316B66AC"/>
    <w:rsid w:val="31794E91"/>
    <w:rsid w:val="31A122DC"/>
    <w:rsid w:val="321C7314"/>
    <w:rsid w:val="32221084"/>
    <w:rsid w:val="32222E32"/>
    <w:rsid w:val="32317ADF"/>
    <w:rsid w:val="32342B66"/>
    <w:rsid w:val="328B3675"/>
    <w:rsid w:val="32AC6BA0"/>
    <w:rsid w:val="32B65F9A"/>
    <w:rsid w:val="32C46B15"/>
    <w:rsid w:val="32CE7302"/>
    <w:rsid w:val="32E216C7"/>
    <w:rsid w:val="32E77BD8"/>
    <w:rsid w:val="331C0B79"/>
    <w:rsid w:val="333B75B5"/>
    <w:rsid w:val="335A6B93"/>
    <w:rsid w:val="342F4B1D"/>
    <w:rsid w:val="343435B3"/>
    <w:rsid w:val="344A2B14"/>
    <w:rsid w:val="34713BFD"/>
    <w:rsid w:val="349D2C44"/>
    <w:rsid w:val="34AF2210"/>
    <w:rsid w:val="34B27966"/>
    <w:rsid w:val="34B54432"/>
    <w:rsid w:val="34C559F4"/>
    <w:rsid w:val="34EC3BCC"/>
    <w:rsid w:val="34EE4AA3"/>
    <w:rsid w:val="34FA3BF3"/>
    <w:rsid w:val="351526BB"/>
    <w:rsid w:val="352C2598"/>
    <w:rsid w:val="352E1AEE"/>
    <w:rsid w:val="354B48C1"/>
    <w:rsid w:val="3558046D"/>
    <w:rsid w:val="35826FE6"/>
    <w:rsid w:val="358B0CEF"/>
    <w:rsid w:val="35AB1391"/>
    <w:rsid w:val="35B20971"/>
    <w:rsid w:val="361231BE"/>
    <w:rsid w:val="362A4376"/>
    <w:rsid w:val="363A2DE4"/>
    <w:rsid w:val="36877708"/>
    <w:rsid w:val="36B42063"/>
    <w:rsid w:val="36EE2383"/>
    <w:rsid w:val="37074D3C"/>
    <w:rsid w:val="371506AD"/>
    <w:rsid w:val="372B09DB"/>
    <w:rsid w:val="374D1667"/>
    <w:rsid w:val="376C4B50"/>
    <w:rsid w:val="37BB6FB7"/>
    <w:rsid w:val="37CE30A6"/>
    <w:rsid w:val="37ED5C91"/>
    <w:rsid w:val="37FC2378"/>
    <w:rsid w:val="37FE6209"/>
    <w:rsid w:val="382A2CCD"/>
    <w:rsid w:val="384F7784"/>
    <w:rsid w:val="38666F8D"/>
    <w:rsid w:val="38691BA8"/>
    <w:rsid w:val="38A0097F"/>
    <w:rsid w:val="38AD342D"/>
    <w:rsid w:val="392518F3"/>
    <w:rsid w:val="394C1FAD"/>
    <w:rsid w:val="397678DC"/>
    <w:rsid w:val="39875C71"/>
    <w:rsid w:val="39B90520"/>
    <w:rsid w:val="39BE0611"/>
    <w:rsid w:val="39D6704B"/>
    <w:rsid w:val="39ED62C2"/>
    <w:rsid w:val="3A0142CE"/>
    <w:rsid w:val="3A0B357E"/>
    <w:rsid w:val="3A423E50"/>
    <w:rsid w:val="3A537A35"/>
    <w:rsid w:val="3A5F3DA1"/>
    <w:rsid w:val="3A7B57D6"/>
    <w:rsid w:val="3AAC3BE1"/>
    <w:rsid w:val="3AB900AC"/>
    <w:rsid w:val="3ABC32F6"/>
    <w:rsid w:val="3ADC3E04"/>
    <w:rsid w:val="3B0B6CC6"/>
    <w:rsid w:val="3B3360B0"/>
    <w:rsid w:val="3B625369"/>
    <w:rsid w:val="3B63409B"/>
    <w:rsid w:val="3B7F4E52"/>
    <w:rsid w:val="3BCB62E9"/>
    <w:rsid w:val="3BF20CEE"/>
    <w:rsid w:val="3BF770DE"/>
    <w:rsid w:val="3C9506A5"/>
    <w:rsid w:val="3CA628B2"/>
    <w:rsid w:val="3D1B6DFC"/>
    <w:rsid w:val="3D474095"/>
    <w:rsid w:val="3D4B4067"/>
    <w:rsid w:val="3D532A3A"/>
    <w:rsid w:val="3D6B4F0A"/>
    <w:rsid w:val="3D78424E"/>
    <w:rsid w:val="3D7A6218"/>
    <w:rsid w:val="3D99367E"/>
    <w:rsid w:val="3DC12D0A"/>
    <w:rsid w:val="3DDF689C"/>
    <w:rsid w:val="3DE11DF4"/>
    <w:rsid w:val="3DE23579"/>
    <w:rsid w:val="3E402A25"/>
    <w:rsid w:val="3E526F2A"/>
    <w:rsid w:val="3E6A003B"/>
    <w:rsid w:val="3E8B3C04"/>
    <w:rsid w:val="3EB81880"/>
    <w:rsid w:val="3ECE23A8"/>
    <w:rsid w:val="3F1E0E25"/>
    <w:rsid w:val="3F1F6A24"/>
    <w:rsid w:val="3F202D95"/>
    <w:rsid w:val="3F241129"/>
    <w:rsid w:val="3F264703"/>
    <w:rsid w:val="3F2D2E17"/>
    <w:rsid w:val="3F3E6DD2"/>
    <w:rsid w:val="3F4168C2"/>
    <w:rsid w:val="3F661335"/>
    <w:rsid w:val="3F7A02D1"/>
    <w:rsid w:val="3F7F7B16"/>
    <w:rsid w:val="3F986179"/>
    <w:rsid w:val="3FAA0D83"/>
    <w:rsid w:val="3FB452E6"/>
    <w:rsid w:val="3FC714BD"/>
    <w:rsid w:val="3FD61700"/>
    <w:rsid w:val="3FD9557B"/>
    <w:rsid w:val="3FE1257F"/>
    <w:rsid w:val="401847F6"/>
    <w:rsid w:val="40AB6150"/>
    <w:rsid w:val="40C73279"/>
    <w:rsid w:val="40CD032F"/>
    <w:rsid w:val="40F45175"/>
    <w:rsid w:val="41061B71"/>
    <w:rsid w:val="41641AFF"/>
    <w:rsid w:val="41782A6F"/>
    <w:rsid w:val="41D1217F"/>
    <w:rsid w:val="41EA78CA"/>
    <w:rsid w:val="41EB4EC0"/>
    <w:rsid w:val="421A1D78"/>
    <w:rsid w:val="424B7176"/>
    <w:rsid w:val="42696DD2"/>
    <w:rsid w:val="427A45C5"/>
    <w:rsid w:val="428B35DC"/>
    <w:rsid w:val="4298580D"/>
    <w:rsid w:val="42B775C7"/>
    <w:rsid w:val="4314683C"/>
    <w:rsid w:val="43304E8B"/>
    <w:rsid w:val="43323135"/>
    <w:rsid w:val="4335673E"/>
    <w:rsid w:val="4360054D"/>
    <w:rsid w:val="4363143A"/>
    <w:rsid w:val="437768DA"/>
    <w:rsid w:val="438F47B6"/>
    <w:rsid w:val="43A922FE"/>
    <w:rsid w:val="43CF0C56"/>
    <w:rsid w:val="43DD305D"/>
    <w:rsid w:val="43E97C54"/>
    <w:rsid w:val="441D19B0"/>
    <w:rsid w:val="444E18F2"/>
    <w:rsid w:val="445A7A92"/>
    <w:rsid w:val="448259B3"/>
    <w:rsid w:val="44BA514C"/>
    <w:rsid w:val="44C1472D"/>
    <w:rsid w:val="44CE6E4A"/>
    <w:rsid w:val="45014B29"/>
    <w:rsid w:val="452810B1"/>
    <w:rsid w:val="45A1519C"/>
    <w:rsid w:val="45BB145A"/>
    <w:rsid w:val="46182559"/>
    <w:rsid w:val="462A2C99"/>
    <w:rsid w:val="462F4D56"/>
    <w:rsid w:val="463C7F00"/>
    <w:rsid w:val="46517360"/>
    <w:rsid w:val="466A5B37"/>
    <w:rsid w:val="4677165D"/>
    <w:rsid w:val="46DB2D69"/>
    <w:rsid w:val="46DE73D4"/>
    <w:rsid w:val="47071E40"/>
    <w:rsid w:val="479E761B"/>
    <w:rsid w:val="47A06CD6"/>
    <w:rsid w:val="482B7039"/>
    <w:rsid w:val="482C45B3"/>
    <w:rsid w:val="48A73DFD"/>
    <w:rsid w:val="48AC51FD"/>
    <w:rsid w:val="48B64D8C"/>
    <w:rsid w:val="48EC00E3"/>
    <w:rsid w:val="48F14EB5"/>
    <w:rsid w:val="48F84300"/>
    <w:rsid w:val="49073F5B"/>
    <w:rsid w:val="494A60B6"/>
    <w:rsid w:val="497951CE"/>
    <w:rsid w:val="49A320C9"/>
    <w:rsid w:val="49DD09E0"/>
    <w:rsid w:val="49DF50EC"/>
    <w:rsid w:val="49FE1F7F"/>
    <w:rsid w:val="4A2A4B22"/>
    <w:rsid w:val="4A371FA0"/>
    <w:rsid w:val="4AA523FB"/>
    <w:rsid w:val="4AAA5C63"/>
    <w:rsid w:val="4B0B18CA"/>
    <w:rsid w:val="4B21533E"/>
    <w:rsid w:val="4B296B88"/>
    <w:rsid w:val="4B58746D"/>
    <w:rsid w:val="4BCF73ED"/>
    <w:rsid w:val="4BDE0E92"/>
    <w:rsid w:val="4C921A2E"/>
    <w:rsid w:val="4C9B6EDB"/>
    <w:rsid w:val="4D495344"/>
    <w:rsid w:val="4D551EB6"/>
    <w:rsid w:val="4D5A3970"/>
    <w:rsid w:val="4D61085B"/>
    <w:rsid w:val="4DC84A72"/>
    <w:rsid w:val="4DE4323A"/>
    <w:rsid w:val="4DE85E82"/>
    <w:rsid w:val="4DF64CC8"/>
    <w:rsid w:val="4E1F474B"/>
    <w:rsid w:val="4E36472C"/>
    <w:rsid w:val="4E656129"/>
    <w:rsid w:val="4E6879C7"/>
    <w:rsid w:val="4E697477"/>
    <w:rsid w:val="4E992277"/>
    <w:rsid w:val="4ECA7935"/>
    <w:rsid w:val="4EDE5EDB"/>
    <w:rsid w:val="4F0D36AF"/>
    <w:rsid w:val="4F376E91"/>
    <w:rsid w:val="4F3C44F8"/>
    <w:rsid w:val="4F3F4BCC"/>
    <w:rsid w:val="4F840831"/>
    <w:rsid w:val="4F90367A"/>
    <w:rsid w:val="4F986C56"/>
    <w:rsid w:val="4FC36566"/>
    <w:rsid w:val="4FE82D58"/>
    <w:rsid w:val="500278C3"/>
    <w:rsid w:val="50135B89"/>
    <w:rsid w:val="50614146"/>
    <w:rsid w:val="506B5CFC"/>
    <w:rsid w:val="50CE2312"/>
    <w:rsid w:val="511D687C"/>
    <w:rsid w:val="513F75DA"/>
    <w:rsid w:val="514209A3"/>
    <w:rsid w:val="51661CE6"/>
    <w:rsid w:val="518619DB"/>
    <w:rsid w:val="5198702B"/>
    <w:rsid w:val="52707890"/>
    <w:rsid w:val="527517C8"/>
    <w:rsid w:val="52A67D88"/>
    <w:rsid w:val="52B61649"/>
    <w:rsid w:val="52C87EB8"/>
    <w:rsid w:val="52E05966"/>
    <w:rsid w:val="52FC2DD4"/>
    <w:rsid w:val="530C5752"/>
    <w:rsid w:val="532F4F57"/>
    <w:rsid w:val="53542C10"/>
    <w:rsid w:val="538C23AA"/>
    <w:rsid w:val="539D5C3F"/>
    <w:rsid w:val="544C6802"/>
    <w:rsid w:val="548337AD"/>
    <w:rsid w:val="548B7EB9"/>
    <w:rsid w:val="54B00D5D"/>
    <w:rsid w:val="54BB2F47"/>
    <w:rsid w:val="54BF230B"/>
    <w:rsid w:val="54DC562C"/>
    <w:rsid w:val="557E0544"/>
    <w:rsid w:val="558E2409"/>
    <w:rsid w:val="55AE2AAB"/>
    <w:rsid w:val="55F34C1E"/>
    <w:rsid w:val="562772C9"/>
    <w:rsid w:val="56460F02"/>
    <w:rsid w:val="56B45017"/>
    <w:rsid w:val="575F15EA"/>
    <w:rsid w:val="57790339"/>
    <w:rsid w:val="578330BC"/>
    <w:rsid w:val="57AB06F3"/>
    <w:rsid w:val="57C36DC2"/>
    <w:rsid w:val="58117F2D"/>
    <w:rsid w:val="58244245"/>
    <w:rsid w:val="583973A1"/>
    <w:rsid w:val="58890AED"/>
    <w:rsid w:val="58E10AA2"/>
    <w:rsid w:val="5900361E"/>
    <w:rsid w:val="591B58B3"/>
    <w:rsid w:val="595D2309"/>
    <w:rsid w:val="597B2CA5"/>
    <w:rsid w:val="5A5E4C4F"/>
    <w:rsid w:val="5A7B6CD4"/>
    <w:rsid w:val="5AC51BE8"/>
    <w:rsid w:val="5ACF765D"/>
    <w:rsid w:val="5AD7215D"/>
    <w:rsid w:val="5B4517BC"/>
    <w:rsid w:val="5B5F1293"/>
    <w:rsid w:val="5BAC5B7A"/>
    <w:rsid w:val="5C031DC6"/>
    <w:rsid w:val="5C2018E1"/>
    <w:rsid w:val="5C232C28"/>
    <w:rsid w:val="5C4A727A"/>
    <w:rsid w:val="5CB3474E"/>
    <w:rsid w:val="5CD81D91"/>
    <w:rsid w:val="5CF1327E"/>
    <w:rsid w:val="5D221689"/>
    <w:rsid w:val="5D370308"/>
    <w:rsid w:val="5D5E3F9C"/>
    <w:rsid w:val="5D9C768D"/>
    <w:rsid w:val="5E410AC5"/>
    <w:rsid w:val="5E8414E3"/>
    <w:rsid w:val="5E8E673A"/>
    <w:rsid w:val="5F0454EA"/>
    <w:rsid w:val="5F3A715E"/>
    <w:rsid w:val="5F61293D"/>
    <w:rsid w:val="5F8D7A8D"/>
    <w:rsid w:val="5FAE6A89"/>
    <w:rsid w:val="5FD255E8"/>
    <w:rsid w:val="602277C3"/>
    <w:rsid w:val="60470512"/>
    <w:rsid w:val="6050547C"/>
    <w:rsid w:val="60643F57"/>
    <w:rsid w:val="606F0CA2"/>
    <w:rsid w:val="608A7C71"/>
    <w:rsid w:val="608C5CBC"/>
    <w:rsid w:val="60E650AB"/>
    <w:rsid w:val="611532DF"/>
    <w:rsid w:val="613100ED"/>
    <w:rsid w:val="61520978"/>
    <w:rsid w:val="61785D1C"/>
    <w:rsid w:val="6200468F"/>
    <w:rsid w:val="62981E89"/>
    <w:rsid w:val="62A62855"/>
    <w:rsid w:val="62F329B7"/>
    <w:rsid w:val="630A3619"/>
    <w:rsid w:val="63163A3E"/>
    <w:rsid w:val="636724EC"/>
    <w:rsid w:val="63712781"/>
    <w:rsid w:val="63916575"/>
    <w:rsid w:val="63A14E9D"/>
    <w:rsid w:val="63BF5E84"/>
    <w:rsid w:val="63CE3548"/>
    <w:rsid w:val="63EF49BB"/>
    <w:rsid w:val="63EF4A28"/>
    <w:rsid w:val="642F4DB7"/>
    <w:rsid w:val="645019C6"/>
    <w:rsid w:val="64902261"/>
    <w:rsid w:val="6490758C"/>
    <w:rsid w:val="64BD0930"/>
    <w:rsid w:val="65566374"/>
    <w:rsid w:val="65574BDC"/>
    <w:rsid w:val="656E2178"/>
    <w:rsid w:val="659230F9"/>
    <w:rsid w:val="6597124C"/>
    <w:rsid w:val="65CF74C7"/>
    <w:rsid w:val="65E34551"/>
    <w:rsid w:val="65F40410"/>
    <w:rsid w:val="66613222"/>
    <w:rsid w:val="66790277"/>
    <w:rsid w:val="6693608B"/>
    <w:rsid w:val="669827C7"/>
    <w:rsid w:val="66B55055"/>
    <w:rsid w:val="66CD24A8"/>
    <w:rsid w:val="66FF6A2A"/>
    <w:rsid w:val="670F2417"/>
    <w:rsid w:val="671169F6"/>
    <w:rsid w:val="671328B2"/>
    <w:rsid w:val="67B359E4"/>
    <w:rsid w:val="6810337B"/>
    <w:rsid w:val="681F3E76"/>
    <w:rsid w:val="683D1E19"/>
    <w:rsid w:val="68436699"/>
    <w:rsid w:val="68440417"/>
    <w:rsid w:val="68514736"/>
    <w:rsid w:val="6852625A"/>
    <w:rsid w:val="685679AF"/>
    <w:rsid w:val="685F7C35"/>
    <w:rsid w:val="689F6284"/>
    <w:rsid w:val="68B05B70"/>
    <w:rsid w:val="68B718A5"/>
    <w:rsid w:val="68F329C4"/>
    <w:rsid w:val="692857AA"/>
    <w:rsid w:val="69847953"/>
    <w:rsid w:val="69AE677E"/>
    <w:rsid w:val="69C45FA2"/>
    <w:rsid w:val="69D94E9E"/>
    <w:rsid w:val="69E14270"/>
    <w:rsid w:val="6A1F58CE"/>
    <w:rsid w:val="6A2133F4"/>
    <w:rsid w:val="6A3A44B6"/>
    <w:rsid w:val="6A7C062B"/>
    <w:rsid w:val="6A8D6CDC"/>
    <w:rsid w:val="6AAE27AE"/>
    <w:rsid w:val="6AB630E4"/>
    <w:rsid w:val="6ADD3FAD"/>
    <w:rsid w:val="6AEF34F2"/>
    <w:rsid w:val="6B071281"/>
    <w:rsid w:val="6B293105"/>
    <w:rsid w:val="6B557947"/>
    <w:rsid w:val="6B604743"/>
    <w:rsid w:val="6B76151E"/>
    <w:rsid w:val="6BC401AB"/>
    <w:rsid w:val="6BD526E8"/>
    <w:rsid w:val="6BEA3CBA"/>
    <w:rsid w:val="6C664248"/>
    <w:rsid w:val="6C9132F0"/>
    <w:rsid w:val="6C9600A2"/>
    <w:rsid w:val="6CAE5601"/>
    <w:rsid w:val="6CB22A57"/>
    <w:rsid w:val="6CC4450B"/>
    <w:rsid w:val="6CDA5BDB"/>
    <w:rsid w:val="6CF365A1"/>
    <w:rsid w:val="6D4449B9"/>
    <w:rsid w:val="6D920165"/>
    <w:rsid w:val="6DAF1FDF"/>
    <w:rsid w:val="6DBC51E2"/>
    <w:rsid w:val="6DC92C1F"/>
    <w:rsid w:val="6E165E39"/>
    <w:rsid w:val="6E3666DF"/>
    <w:rsid w:val="6E641B01"/>
    <w:rsid w:val="6E661DDC"/>
    <w:rsid w:val="6E801395"/>
    <w:rsid w:val="6E9817AB"/>
    <w:rsid w:val="6EF54473"/>
    <w:rsid w:val="6EFD4726"/>
    <w:rsid w:val="6F117D5E"/>
    <w:rsid w:val="6F3922E7"/>
    <w:rsid w:val="6F4A1814"/>
    <w:rsid w:val="6FB13580"/>
    <w:rsid w:val="6FB40D83"/>
    <w:rsid w:val="6FBD4AA8"/>
    <w:rsid w:val="6FC14D32"/>
    <w:rsid w:val="6FE56C72"/>
    <w:rsid w:val="6FF15268"/>
    <w:rsid w:val="6FF869A5"/>
    <w:rsid w:val="705931BC"/>
    <w:rsid w:val="714E7A95"/>
    <w:rsid w:val="71504A44"/>
    <w:rsid w:val="71685DAD"/>
    <w:rsid w:val="717C6E02"/>
    <w:rsid w:val="71815E70"/>
    <w:rsid w:val="71950224"/>
    <w:rsid w:val="71AE2B8A"/>
    <w:rsid w:val="71DE561A"/>
    <w:rsid w:val="726E0878"/>
    <w:rsid w:val="727246EC"/>
    <w:rsid w:val="72815163"/>
    <w:rsid w:val="728C1627"/>
    <w:rsid w:val="72933FAE"/>
    <w:rsid w:val="732A2245"/>
    <w:rsid w:val="73306456"/>
    <w:rsid w:val="733A5527"/>
    <w:rsid w:val="735E1215"/>
    <w:rsid w:val="739D4AF3"/>
    <w:rsid w:val="73BE3886"/>
    <w:rsid w:val="73BE4EB4"/>
    <w:rsid w:val="73D34AAA"/>
    <w:rsid w:val="73EA2AA9"/>
    <w:rsid w:val="73FF709F"/>
    <w:rsid w:val="740530CB"/>
    <w:rsid w:val="742A559B"/>
    <w:rsid w:val="74553554"/>
    <w:rsid w:val="745821D0"/>
    <w:rsid w:val="74C30258"/>
    <w:rsid w:val="74EE6765"/>
    <w:rsid w:val="750E0F94"/>
    <w:rsid w:val="753D6E5D"/>
    <w:rsid w:val="75526B58"/>
    <w:rsid w:val="75556162"/>
    <w:rsid w:val="756E14B8"/>
    <w:rsid w:val="75976F83"/>
    <w:rsid w:val="76312C11"/>
    <w:rsid w:val="76897266"/>
    <w:rsid w:val="76913A3E"/>
    <w:rsid w:val="769211D6"/>
    <w:rsid w:val="76B17F38"/>
    <w:rsid w:val="76B349DE"/>
    <w:rsid w:val="76E833FD"/>
    <w:rsid w:val="76EC4468"/>
    <w:rsid w:val="77085369"/>
    <w:rsid w:val="772959B4"/>
    <w:rsid w:val="77353311"/>
    <w:rsid w:val="77764653"/>
    <w:rsid w:val="780879A1"/>
    <w:rsid w:val="7840713B"/>
    <w:rsid w:val="78632E2A"/>
    <w:rsid w:val="786E1D9F"/>
    <w:rsid w:val="78760DAF"/>
    <w:rsid w:val="7895601A"/>
    <w:rsid w:val="79404F19"/>
    <w:rsid w:val="79D57D57"/>
    <w:rsid w:val="79E46F14"/>
    <w:rsid w:val="7A4E3666"/>
    <w:rsid w:val="7A5213A8"/>
    <w:rsid w:val="7A756E44"/>
    <w:rsid w:val="7AD279B1"/>
    <w:rsid w:val="7AE8315B"/>
    <w:rsid w:val="7B05641A"/>
    <w:rsid w:val="7B446F42"/>
    <w:rsid w:val="7B834AD2"/>
    <w:rsid w:val="7B9A0769"/>
    <w:rsid w:val="7BCF78A0"/>
    <w:rsid w:val="7C9932BE"/>
    <w:rsid w:val="7C9F3C92"/>
    <w:rsid w:val="7CAC3D05"/>
    <w:rsid w:val="7CBD5596"/>
    <w:rsid w:val="7CE06A51"/>
    <w:rsid w:val="7CFE5454"/>
    <w:rsid w:val="7D007C96"/>
    <w:rsid w:val="7D50686A"/>
    <w:rsid w:val="7D7B6E68"/>
    <w:rsid w:val="7DCE6802"/>
    <w:rsid w:val="7DD93F6F"/>
    <w:rsid w:val="7DE43F1D"/>
    <w:rsid w:val="7DEE3196"/>
    <w:rsid w:val="7DF45ACF"/>
    <w:rsid w:val="7DF61154"/>
    <w:rsid w:val="7DFB54E8"/>
    <w:rsid w:val="7E0856B4"/>
    <w:rsid w:val="7E2B263C"/>
    <w:rsid w:val="7E47281F"/>
    <w:rsid w:val="7E5A082B"/>
    <w:rsid w:val="7EB63FB5"/>
    <w:rsid w:val="7ED54355"/>
    <w:rsid w:val="7EE50C3E"/>
    <w:rsid w:val="7F1E5CFC"/>
    <w:rsid w:val="7F885DD8"/>
    <w:rsid w:val="7F8F035F"/>
    <w:rsid w:val="7FB15138"/>
    <w:rsid w:val="7FBB79EF"/>
    <w:rsid w:val="7FC1615D"/>
    <w:rsid w:val="7FFE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qFormat="1" w:unhideWhenUsed="0" w:uiPriority="0"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1"/>
    <w:basedOn w:val="1"/>
    <w:next w:val="1"/>
    <w:qFormat/>
    <w:uiPriority w:val="9"/>
    <w:pPr>
      <w:keepNext/>
      <w:keepLines/>
      <w:spacing w:before="340" w:after="330" w:line="578" w:lineRule="auto"/>
      <w:outlineLvl w:val="0"/>
    </w:pPr>
    <w:rPr>
      <w:rFonts w:cs="Times New Roman"/>
      <w:b/>
      <w:bCs/>
      <w:kern w:val="44"/>
      <w:sz w:val="44"/>
      <w:szCs w:val="44"/>
    </w:rPr>
  </w:style>
  <w:style w:type="paragraph" w:styleId="3">
    <w:name w:val="heading 3"/>
    <w:basedOn w:val="1"/>
    <w:next w:val="1"/>
    <w:qFormat/>
    <w:uiPriority w:val="0"/>
    <w:pPr>
      <w:spacing w:before="156"/>
      <w:outlineLvl w:val="2"/>
    </w:pPr>
    <w:rPr>
      <w:kern w:val="2"/>
      <w:szCs w:val="22"/>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List 3"/>
    <w:basedOn w:val="1"/>
    <w:next w:val="1"/>
    <w:qFormat/>
    <w:uiPriority w:val="0"/>
    <w:pPr>
      <w:widowControl w:val="0"/>
      <w:autoSpaceDE w:val="0"/>
      <w:autoSpaceDN w:val="0"/>
      <w:adjustRightInd w:val="0"/>
      <w:spacing w:line="288" w:lineRule="auto"/>
      <w:ind w:left="1260" w:hanging="420"/>
      <w:textAlignment w:val="baseline"/>
    </w:pPr>
    <w:rPr>
      <w:rFonts w:ascii="Calibri" w:hAnsi="Calibri" w:eastAsia="仿宋" w:cs="宋体"/>
      <w:szCs w:val="20"/>
    </w:rPr>
  </w:style>
  <w:style w:type="paragraph" w:styleId="5">
    <w:name w:val="Normal Indent"/>
    <w:basedOn w:val="1"/>
    <w:semiHidden/>
    <w:qFormat/>
    <w:uiPriority w:val="0"/>
    <w:pPr>
      <w:spacing w:line="360" w:lineRule="auto"/>
      <w:ind w:firstLine="480"/>
    </w:pPr>
    <w:rPr>
      <w:color w:val="000000"/>
    </w:rPr>
  </w:style>
  <w:style w:type="paragraph" w:styleId="6">
    <w:name w:val="annotation text"/>
    <w:basedOn w:val="1"/>
    <w:qFormat/>
    <w:uiPriority w:val="0"/>
    <w:pPr>
      <w:jc w:val="left"/>
    </w:pPr>
  </w:style>
  <w:style w:type="paragraph" w:styleId="7">
    <w:name w:val="Body Text Indent"/>
    <w:basedOn w:val="1"/>
    <w:qFormat/>
    <w:uiPriority w:val="0"/>
    <w:pPr>
      <w:spacing w:line="480" w:lineRule="exact"/>
      <w:ind w:firstLine="560" w:firstLineChars="200"/>
    </w:pPr>
    <w:rPr>
      <w:sz w:val="28"/>
    </w:rPr>
  </w:style>
  <w:style w:type="paragraph" w:styleId="8">
    <w:name w:val="Plain Text"/>
    <w:basedOn w:val="1"/>
    <w:link w:val="36"/>
    <w:semiHidden/>
    <w:unhideWhenUsed/>
    <w:qFormat/>
    <w:uiPriority w:val="99"/>
    <w:rPr>
      <w:rFonts w:hAnsi="Courier New" w:cs="Courier New" w:asciiTheme="minorEastAsia" w:eastAsiaTheme="minorEastAsia"/>
    </w:rPr>
  </w:style>
  <w:style w:type="paragraph" w:styleId="9">
    <w:name w:val="Balloon Text"/>
    <w:basedOn w:val="1"/>
    <w:link w:val="39"/>
    <w:unhideWhenUsed/>
    <w:qFormat/>
    <w:uiPriority w:val="99"/>
    <w:pPr>
      <w:spacing w:after="0"/>
    </w:pPr>
    <w:rPr>
      <w:sz w:val="18"/>
      <w:szCs w:val="18"/>
    </w:rPr>
  </w:style>
  <w:style w:type="paragraph" w:styleId="10">
    <w:name w:val="footer"/>
    <w:basedOn w:val="1"/>
    <w:link w:val="20"/>
    <w:qFormat/>
    <w:uiPriority w:val="0"/>
    <w:pPr>
      <w:tabs>
        <w:tab w:val="center" w:pos="4153"/>
        <w:tab w:val="right" w:pos="8306"/>
      </w:tabs>
    </w:pPr>
    <w:rPr>
      <w:rFonts w:eastAsiaTheme="minorEastAsia" w:cstheme="minorBidi"/>
      <w:kern w:val="2"/>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jc w:val="center"/>
    </w:pPr>
    <w:rPr>
      <w:sz w:val="18"/>
      <w:szCs w:val="18"/>
    </w:rPr>
  </w:style>
  <w:style w:type="paragraph" w:styleId="12">
    <w:name w:val="Body Text 2"/>
    <w:basedOn w:val="1"/>
    <w:link w:val="44"/>
    <w:qFormat/>
    <w:uiPriority w:val="0"/>
    <w:pPr>
      <w:widowControl w:val="0"/>
      <w:adjustRightInd/>
      <w:snapToGrid/>
      <w:spacing w:after="120" w:line="480" w:lineRule="auto"/>
      <w:jc w:val="both"/>
    </w:pPr>
    <w:rPr>
      <w:rFonts w:ascii="Times New Roman" w:hAnsi="Times New Roman" w:eastAsia="宋体"/>
      <w:kern w:val="2"/>
      <w:sz w:val="21"/>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annotation reference"/>
    <w:qFormat/>
    <w:uiPriority w:val="99"/>
    <w:rPr>
      <w:sz w:val="21"/>
    </w:rPr>
  </w:style>
  <w:style w:type="paragraph" w:customStyle="1" w:styleId="18">
    <w:name w:val="Default"/>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正文 首行缩进:  2 字符"/>
    <w:basedOn w:val="1"/>
    <w:qFormat/>
    <w:uiPriority w:val="0"/>
    <w:rPr>
      <w:rFonts w:ascii="Calibri" w:hAnsi="Calibri" w:cs="宋体"/>
      <w:szCs w:val="20"/>
    </w:rPr>
  </w:style>
  <w:style w:type="character" w:customStyle="1" w:styleId="20">
    <w:name w:val="页脚 字符"/>
    <w:link w:val="10"/>
    <w:qFormat/>
    <w:uiPriority w:val="0"/>
    <w:rPr>
      <w:rFonts w:ascii="Tahoma" w:hAnsi="Tahoma"/>
      <w:sz w:val="18"/>
      <w:szCs w:val="18"/>
    </w:rPr>
  </w:style>
  <w:style w:type="character" w:customStyle="1" w:styleId="21">
    <w:name w:val="页脚 字符1"/>
    <w:basedOn w:val="15"/>
    <w:semiHidden/>
    <w:qFormat/>
    <w:uiPriority w:val="99"/>
    <w:rPr>
      <w:rFonts w:ascii="Tahoma" w:hAnsi="Tahoma" w:eastAsia="微软雅黑" w:cs="Times New Roman"/>
      <w:kern w:val="0"/>
      <w:sz w:val="18"/>
      <w:szCs w:val="18"/>
    </w:rPr>
  </w:style>
  <w:style w:type="paragraph" w:styleId="22">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23">
    <w:name w:val="页眉 字符"/>
    <w:basedOn w:val="15"/>
    <w:link w:val="11"/>
    <w:qFormat/>
    <w:uiPriority w:val="99"/>
    <w:rPr>
      <w:rFonts w:ascii="Tahoma" w:hAnsi="Tahoma" w:eastAsia="微软雅黑" w:cs="Times New Roman"/>
      <w:kern w:val="0"/>
      <w:sz w:val="18"/>
      <w:szCs w:val="18"/>
    </w:rPr>
  </w:style>
  <w:style w:type="character" w:customStyle="1" w:styleId="24">
    <w:name w:val="表格 Char"/>
    <w:link w:val="25"/>
    <w:qFormat/>
    <w:uiPriority w:val="0"/>
    <w:rPr>
      <w:sz w:val="24"/>
      <w:szCs w:val="24"/>
    </w:rPr>
  </w:style>
  <w:style w:type="paragraph" w:customStyle="1" w:styleId="25">
    <w:name w:val="表格"/>
    <w:basedOn w:val="5"/>
    <w:link w:val="24"/>
    <w:qFormat/>
    <w:uiPriority w:val="0"/>
    <w:pPr>
      <w:widowControl w:val="0"/>
      <w:adjustRightInd/>
      <w:snapToGrid/>
      <w:spacing w:after="0"/>
      <w:jc w:val="center"/>
    </w:pPr>
    <w:rPr>
      <w:rFonts w:asciiTheme="minorHAnsi" w:hAnsiTheme="minorHAnsi" w:eastAsiaTheme="minorEastAsia" w:cstheme="minorBidi"/>
      <w:kern w:val="2"/>
      <w:sz w:val="24"/>
      <w:szCs w:val="24"/>
    </w:rPr>
  </w:style>
  <w:style w:type="paragraph" w:customStyle="1" w:styleId="26">
    <w:name w:val="高表格样式"/>
    <w:basedOn w:val="1"/>
    <w:link w:val="27"/>
    <w:qFormat/>
    <w:uiPriority w:val="0"/>
    <w:pPr>
      <w:widowControl w:val="0"/>
      <w:spacing w:after="0" w:line="360" w:lineRule="atLeast"/>
      <w:jc w:val="center"/>
    </w:pPr>
    <w:rPr>
      <w:rFonts w:ascii="Times New Roman" w:hAnsi="Times New Roman" w:eastAsia="宋体"/>
      <w:spacing w:val="6"/>
      <w:kern w:val="2"/>
    </w:rPr>
  </w:style>
  <w:style w:type="character" w:customStyle="1" w:styleId="27">
    <w:name w:val="高表格样式 字符"/>
    <w:basedOn w:val="15"/>
    <w:link w:val="26"/>
    <w:qFormat/>
    <w:uiPriority w:val="0"/>
    <w:rPr>
      <w:rFonts w:ascii="Times New Roman" w:hAnsi="Times New Roman" w:eastAsia="宋体" w:cs="Times New Roman"/>
      <w:spacing w:val="6"/>
      <w:sz w:val="22"/>
    </w:rPr>
  </w:style>
  <w:style w:type="paragraph" w:customStyle="1" w:styleId="28">
    <w:name w:val="报告表表格样式"/>
    <w:basedOn w:val="1"/>
    <w:link w:val="29"/>
    <w:qFormat/>
    <w:uiPriority w:val="0"/>
    <w:pPr>
      <w:widowControl w:val="0"/>
      <w:spacing w:after="0" w:line="360" w:lineRule="atLeast"/>
    </w:pPr>
    <w:rPr>
      <w:rFonts w:ascii="Times New Roman" w:hAnsi="Times New Roman" w:eastAsia="宋体"/>
      <w:bCs/>
      <w:snapToGrid w:val="0"/>
      <w:kern w:val="2"/>
      <w:sz w:val="21"/>
      <w:szCs w:val="21"/>
    </w:rPr>
  </w:style>
  <w:style w:type="character" w:customStyle="1" w:styleId="29">
    <w:name w:val="报告表表格样式 字符"/>
    <w:link w:val="28"/>
    <w:qFormat/>
    <w:uiPriority w:val="0"/>
    <w:rPr>
      <w:rFonts w:ascii="Times New Roman" w:hAnsi="Times New Roman" w:eastAsia="宋体" w:cs="Times New Roman"/>
      <w:bCs/>
      <w:snapToGrid w:val="0"/>
      <w:szCs w:val="21"/>
    </w:rPr>
  </w:style>
  <w:style w:type="paragraph" w:customStyle="1" w:styleId="30">
    <w:name w:val="表内字1"/>
    <w:basedOn w:val="1"/>
    <w:link w:val="31"/>
    <w:qFormat/>
    <w:uiPriority w:val="0"/>
    <w:pPr>
      <w:widowControl w:val="0"/>
      <w:spacing w:after="0" w:line="300" w:lineRule="exact"/>
      <w:jc w:val="center"/>
    </w:pPr>
    <w:rPr>
      <w:rFonts w:ascii="Times New Roman" w:hAnsi="Times New Roman" w:eastAsia="宋体"/>
      <w:color w:val="000000"/>
      <w:kern w:val="2"/>
      <w:szCs w:val="21"/>
      <w:lang w:val="zh-CN" w:eastAsia="zh-CN"/>
    </w:rPr>
  </w:style>
  <w:style w:type="character" w:customStyle="1" w:styleId="31">
    <w:name w:val="表内字1 Char"/>
    <w:link w:val="30"/>
    <w:qFormat/>
    <w:uiPriority w:val="0"/>
    <w:rPr>
      <w:rFonts w:ascii="Times New Roman" w:hAnsi="Times New Roman" w:eastAsia="宋体" w:cs="Times New Roman"/>
      <w:color w:val="000000"/>
      <w:sz w:val="22"/>
      <w:szCs w:val="21"/>
      <w:lang w:val="zh-CN" w:eastAsia="zh-CN"/>
    </w:rPr>
  </w:style>
  <w:style w:type="paragraph" w:customStyle="1" w:styleId="32">
    <w:name w:val="高标题2"/>
    <w:basedOn w:val="1"/>
    <w:link w:val="33"/>
    <w:qFormat/>
    <w:uiPriority w:val="0"/>
    <w:pPr>
      <w:widowControl w:val="0"/>
      <w:snapToGrid/>
      <w:spacing w:before="120" w:beforeLines="50" w:after="120" w:afterLines="50" w:line="460" w:lineRule="exact"/>
      <w:jc w:val="both"/>
      <w:outlineLvl w:val="1"/>
    </w:pPr>
    <w:rPr>
      <w:rFonts w:ascii="Times New Roman" w:hAnsi="Times New Roman" w:eastAsia="宋体"/>
      <w:b/>
      <w:bCs/>
      <w:kern w:val="2"/>
      <w:sz w:val="28"/>
      <w:szCs w:val="30"/>
    </w:rPr>
  </w:style>
  <w:style w:type="character" w:customStyle="1" w:styleId="33">
    <w:name w:val="高标题2 字符"/>
    <w:link w:val="32"/>
    <w:qFormat/>
    <w:uiPriority w:val="0"/>
    <w:rPr>
      <w:rFonts w:ascii="Times New Roman" w:hAnsi="Times New Roman" w:eastAsia="宋体" w:cs="Times New Roman"/>
      <w:b/>
      <w:bCs/>
      <w:sz w:val="28"/>
      <w:szCs w:val="30"/>
    </w:rPr>
  </w:style>
  <w:style w:type="paragraph" w:customStyle="1" w:styleId="34">
    <w:name w:val="高正文"/>
    <w:basedOn w:val="1"/>
    <w:link w:val="35"/>
    <w:qFormat/>
    <w:uiPriority w:val="0"/>
    <w:pPr>
      <w:widowControl w:val="0"/>
      <w:snapToGrid/>
      <w:spacing w:after="0" w:line="460" w:lineRule="exact"/>
      <w:ind w:firstLine="520" w:firstLineChars="200"/>
      <w:jc w:val="both"/>
    </w:pPr>
    <w:rPr>
      <w:rFonts w:ascii="Times New Roman" w:hAnsi="Times New Roman" w:eastAsia="宋体"/>
      <w:kern w:val="2"/>
      <w:sz w:val="26"/>
      <w:szCs w:val="26"/>
    </w:rPr>
  </w:style>
  <w:style w:type="character" w:customStyle="1" w:styleId="35">
    <w:name w:val="高正文 字符"/>
    <w:link w:val="34"/>
    <w:qFormat/>
    <w:uiPriority w:val="0"/>
    <w:rPr>
      <w:rFonts w:ascii="Times New Roman" w:hAnsi="Times New Roman" w:eastAsia="宋体" w:cs="Times New Roman"/>
      <w:sz w:val="26"/>
      <w:szCs w:val="26"/>
    </w:rPr>
  </w:style>
  <w:style w:type="character" w:customStyle="1" w:styleId="36">
    <w:name w:val="纯文本 字符"/>
    <w:basedOn w:val="15"/>
    <w:link w:val="8"/>
    <w:semiHidden/>
    <w:qFormat/>
    <w:uiPriority w:val="99"/>
    <w:rPr>
      <w:rFonts w:hAnsi="Courier New" w:cs="Courier New" w:asciiTheme="minorEastAsia"/>
      <w:kern w:val="0"/>
      <w:sz w:val="22"/>
    </w:rPr>
  </w:style>
  <w:style w:type="paragraph" w:customStyle="1" w:styleId="37">
    <w:name w:val="标题   11"/>
    <w:basedOn w:val="1"/>
    <w:next w:val="1"/>
    <w:link w:val="38"/>
    <w:qFormat/>
    <w:uiPriority w:val="0"/>
    <w:pPr>
      <w:pageBreakBefore/>
      <w:widowControl w:val="0"/>
      <w:adjustRightInd/>
      <w:snapToGrid/>
      <w:spacing w:after="60" w:line="420" w:lineRule="exact"/>
      <w:ind w:right="-312" w:rightChars="-130"/>
      <w:jc w:val="center"/>
      <w:outlineLvl w:val="0"/>
    </w:pPr>
    <w:rPr>
      <w:rFonts w:ascii="Times New Roman" w:hAnsi="Times New Roman" w:eastAsia="宋体"/>
      <w:b/>
      <w:color w:val="000000"/>
      <w:kern w:val="2"/>
      <w:sz w:val="24"/>
      <w:szCs w:val="24"/>
    </w:rPr>
  </w:style>
  <w:style w:type="character" w:customStyle="1" w:styleId="38">
    <w:name w:val="标题   11 字符"/>
    <w:link w:val="37"/>
    <w:qFormat/>
    <w:uiPriority w:val="0"/>
    <w:rPr>
      <w:rFonts w:ascii="Times New Roman" w:hAnsi="Times New Roman" w:eastAsia="宋体" w:cs="Times New Roman"/>
      <w:b/>
      <w:color w:val="000000"/>
      <w:sz w:val="24"/>
      <w:szCs w:val="24"/>
    </w:rPr>
  </w:style>
  <w:style w:type="character" w:customStyle="1" w:styleId="39">
    <w:name w:val="批注框文本 字符"/>
    <w:basedOn w:val="15"/>
    <w:link w:val="9"/>
    <w:semiHidden/>
    <w:qFormat/>
    <w:uiPriority w:val="99"/>
    <w:rPr>
      <w:rFonts w:ascii="Tahoma" w:hAnsi="Tahoma" w:eastAsia="微软雅黑" w:cs="Times New Roman"/>
      <w:kern w:val="0"/>
      <w:sz w:val="18"/>
      <w:szCs w:val="18"/>
    </w:rPr>
  </w:style>
  <w:style w:type="character" w:customStyle="1" w:styleId="40">
    <w:name w:val="页码1"/>
    <w:basedOn w:val="15"/>
    <w:qFormat/>
    <w:uiPriority w:val="0"/>
  </w:style>
  <w:style w:type="character" w:customStyle="1" w:styleId="41">
    <w:name w:val="表中文字、宋体 Char"/>
    <w:link w:val="42"/>
    <w:qFormat/>
    <w:uiPriority w:val="0"/>
    <w:rPr>
      <w:b/>
      <w:bCs/>
      <w:sz w:val="32"/>
      <w:szCs w:val="21"/>
    </w:rPr>
  </w:style>
  <w:style w:type="paragraph" w:customStyle="1" w:styleId="42">
    <w:name w:val="表中文字、宋体"/>
    <w:basedOn w:val="1"/>
    <w:link w:val="41"/>
    <w:qFormat/>
    <w:uiPriority w:val="0"/>
    <w:pPr>
      <w:widowControl w:val="0"/>
      <w:adjustRightInd/>
      <w:snapToGrid/>
      <w:spacing w:after="0" w:line="320" w:lineRule="exact"/>
      <w:jc w:val="center"/>
    </w:pPr>
    <w:rPr>
      <w:rFonts w:asciiTheme="minorHAnsi" w:hAnsiTheme="minorHAnsi" w:eastAsiaTheme="minorEastAsia" w:cstheme="minorBidi"/>
      <w:b/>
      <w:bCs/>
      <w:kern w:val="2"/>
      <w:sz w:val="32"/>
      <w:szCs w:val="21"/>
    </w:rPr>
  </w:style>
  <w:style w:type="character" w:customStyle="1" w:styleId="43">
    <w:name w:val="正文文本 2 字符"/>
    <w:basedOn w:val="15"/>
    <w:semiHidden/>
    <w:qFormat/>
    <w:uiPriority w:val="99"/>
    <w:rPr>
      <w:rFonts w:ascii="Tahoma" w:hAnsi="Tahoma" w:eastAsia="微软雅黑" w:cs="Times New Roman"/>
      <w:kern w:val="0"/>
      <w:sz w:val="22"/>
    </w:rPr>
  </w:style>
  <w:style w:type="character" w:customStyle="1" w:styleId="44">
    <w:name w:val="正文文本 2 字符1"/>
    <w:link w:val="12"/>
    <w:qFormat/>
    <w:uiPriority w:val="0"/>
    <w:rPr>
      <w:rFonts w:ascii="Times New Roman" w:hAnsi="Times New Roman" w:eastAsia="宋体" w:cs="Times New Roman"/>
      <w:szCs w:val="24"/>
    </w:rPr>
  </w:style>
  <w:style w:type="character" w:customStyle="1" w:styleId="45">
    <w:name w:val="批注框文本 Char"/>
    <w:qFormat/>
    <w:locked/>
    <w:uiPriority w:val="0"/>
    <w:rPr>
      <w:rFonts w:ascii="Times New Roman" w:hAnsi="Times New Roman" w:eastAsia="宋体"/>
      <w:sz w:val="18"/>
    </w:rPr>
  </w:style>
  <w:style w:type="paragraph" w:customStyle="1" w:styleId="46">
    <w:name w:val="111GY正文"/>
    <w:qFormat/>
    <w:uiPriority w:val="0"/>
    <w:pPr>
      <w:spacing w:line="500" w:lineRule="exact"/>
      <w:ind w:firstLine="560" w:firstLineChars="200"/>
    </w:pPr>
    <w:rPr>
      <w:rFonts w:ascii="Times New Roman" w:hAnsi="Times New Roman" w:eastAsia="宋体" w:cs="MingLiU_HKSCS"/>
      <w:sz w:val="24"/>
      <w:lang w:val="en-US" w:eastAsia="zh-CN" w:bidi="ar-SA"/>
    </w:rPr>
  </w:style>
  <w:style w:type="paragraph" w:customStyle="1" w:styleId="47">
    <w:name w:val="表格文字"/>
    <w:basedOn w:val="1"/>
    <w:qFormat/>
    <w:uiPriority w:val="0"/>
    <w:pPr>
      <w:jc w:val="center"/>
    </w:pPr>
    <w:rPr>
      <w:rFonts w:ascii="仿宋_GB2312" w:hAnsi="Arial Black" w:eastAsia="仿宋_GB2312"/>
      <w:kern w:val="44"/>
      <w:sz w:val="24"/>
      <w:szCs w:val="20"/>
    </w:rPr>
  </w:style>
  <w:style w:type="paragraph" w:customStyle="1" w:styleId="48">
    <w:name w:val="表格中文字"/>
    <w:basedOn w:val="1"/>
    <w:qFormat/>
    <w:uiPriority w:val="0"/>
    <w:pPr>
      <w:jc w:val="center"/>
    </w:pPr>
    <w:rPr>
      <w:kern w:val="1"/>
      <w:szCs w:val="21"/>
    </w:rPr>
  </w:style>
  <w:style w:type="paragraph" w:customStyle="1" w:styleId="49">
    <w:name w:val="正本文字"/>
    <w:basedOn w:val="1"/>
    <w:qFormat/>
    <w:uiPriority w:val="0"/>
    <w:pPr>
      <w:spacing w:line="360" w:lineRule="auto"/>
      <w:ind w:firstLine="480"/>
      <w:jc w:val="left"/>
    </w:pPr>
    <w:rPr>
      <w:kern w:val="1"/>
      <w:sz w:val="24"/>
      <w:szCs w:val="20"/>
    </w:rPr>
  </w:style>
  <w:style w:type="character" w:customStyle="1" w:styleId="50">
    <w:name w:val="font11"/>
    <w:basedOn w:val="15"/>
    <w:qFormat/>
    <w:uiPriority w:val="0"/>
    <w:rPr>
      <w:rFonts w:hint="eastAsia" w:ascii="宋体" w:hAnsi="宋体" w:eastAsia="宋体" w:cs="宋体"/>
      <w:color w:val="000000"/>
      <w:sz w:val="20"/>
      <w:szCs w:val="20"/>
      <w:u w:val="none"/>
    </w:rPr>
  </w:style>
  <w:style w:type="character" w:customStyle="1" w:styleId="51">
    <w:name w:val="font31"/>
    <w:basedOn w:val="15"/>
    <w:qFormat/>
    <w:uiPriority w:val="0"/>
    <w:rPr>
      <w:rFonts w:hint="eastAsia" w:ascii="宋体" w:hAnsi="宋体" w:eastAsia="宋体" w:cs="宋体"/>
      <w:color w:val="000000"/>
      <w:sz w:val="20"/>
      <w:szCs w:val="20"/>
      <w:u w:val="none"/>
    </w:rPr>
  </w:style>
  <w:style w:type="character" w:customStyle="1" w:styleId="52">
    <w:name w:val="fontstyle01"/>
    <w:basedOn w:val="15"/>
    <w:qFormat/>
    <w:uiPriority w:val="0"/>
    <w:rPr>
      <w:rFonts w:ascii="华文中宋" w:hAnsi="华文中宋" w:eastAsia="华文中宋" w:cs="华文中宋"/>
      <w:b/>
      <w:bCs/>
      <w:color w:val="000000"/>
      <w:sz w:val="36"/>
      <w:szCs w:val="36"/>
    </w:rPr>
  </w:style>
  <w:style w:type="paragraph" w:customStyle="1" w:styleId="53">
    <w:name w:val="表格中正文"/>
    <w:basedOn w:val="1"/>
    <w:qFormat/>
    <w:uiPriority w:val="0"/>
    <w:pPr>
      <w:ind w:firstLine="420" w:firstLineChars="200"/>
    </w:pPr>
    <w:rPr>
      <w:kern w:val="0"/>
      <w:sz w:val="24"/>
    </w:rPr>
  </w:style>
  <w:style w:type="character" w:customStyle="1" w:styleId="54">
    <w:name w:val="font21"/>
    <w:basedOn w:val="15"/>
    <w:qFormat/>
    <w:uiPriority w:val="0"/>
    <w:rPr>
      <w:rFonts w:hint="eastAsia" w:ascii="宋体" w:hAnsi="宋体" w:eastAsia="宋体" w:cs="宋体"/>
      <w:color w:val="000000"/>
      <w:sz w:val="22"/>
      <w:szCs w:val="22"/>
      <w:u w:val="none"/>
    </w:rPr>
  </w:style>
  <w:style w:type="paragraph" w:customStyle="1" w:styleId="55">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24346</Words>
  <Characters>28617</Characters>
  <Lines>233</Lines>
  <Paragraphs>65</Paragraphs>
  <TotalTime>4</TotalTime>
  <ScaleCrop>false</ScaleCrop>
  <LinksUpToDate>false</LinksUpToDate>
  <CharactersWithSpaces>28838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2022-04-14T07:02:00Z</dcterms:created>
  <dc:creator>bifeng gao</dc:creator>
  <cp:lastModifiedBy>WPS_1591770808</cp:lastModifiedBy>
  <cp:lastPrinted>2019-12-05T07:28:00Z</cp:lastPrinted>
  <dcterms:modified xsi:type="dcterms:W3CDTF">2023-09-12T02:17:03Z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8C3DFBF38D7E492AA2BBC60D91D263D0</vt:lpwstr>
  </property>
</Properties>
</file>